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default" w:ascii="Times New Roman" w:hAnsi="Times New Roman" w:eastAsia="华文中宋" w:cs="Times New Roman"/>
          <w:b/>
          <w:kern w:val="0"/>
          <w:sz w:val="52"/>
          <w:szCs w:val="52"/>
        </w:rPr>
      </w:pPr>
    </w:p>
    <w:p>
      <w:pPr>
        <w:spacing w:line="540" w:lineRule="exact"/>
        <w:rPr>
          <w:rFonts w:hint="default" w:ascii="Times New Roman" w:hAnsi="Times New Roman" w:eastAsia="华文中宋" w:cs="Times New Roman"/>
          <w:b/>
          <w:kern w:val="0"/>
          <w:sz w:val="52"/>
          <w:szCs w:val="52"/>
        </w:rPr>
      </w:pPr>
    </w:p>
    <w:p>
      <w:pPr>
        <w:spacing w:line="540" w:lineRule="exact"/>
        <w:jc w:val="center"/>
        <w:rPr>
          <w:rFonts w:hint="default" w:ascii="Times New Roman" w:hAnsi="Times New Roman" w:eastAsia="华文中宋" w:cs="Times New Roman"/>
          <w:b/>
          <w:kern w:val="0"/>
          <w:sz w:val="52"/>
          <w:szCs w:val="52"/>
        </w:rPr>
      </w:pPr>
    </w:p>
    <w:p>
      <w:pPr>
        <w:spacing w:line="540" w:lineRule="exact"/>
        <w:jc w:val="center"/>
        <w:rPr>
          <w:rFonts w:hint="default" w:ascii="Times New Roman" w:hAnsi="Times New Roman" w:eastAsia="华文中宋" w:cs="Times New Roman"/>
          <w:b/>
          <w:kern w:val="0"/>
          <w:sz w:val="52"/>
          <w:szCs w:val="52"/>
        </w:rPr>
      </w:pPr>
    </w:p>
    <w:p>
      <w:pPr>
        <w:spacing w:line="540" w:lineRule="exact"/>
        <w:jc w:val="center"/>
        <w:rPr>
          <w:rFonts w:hint="default" w:ascii="Times New Roman" w:hAnsi="Times New Roman" w:eastAsia="方正小标宋_GBK" w:cs="Times New Roman"/>
          <w:kern w:val="0"/>
          <w:sz w:val="48"/>
          <w:szCs w:val="48"/>
        </w:rPr>
      </w:pPr>
      <w:r>
        <w:rPr>
          <w:rFonts w:hint="default" w:ascii="Times New Roman" w:hAnsi="Times New Roman" w:eastAsia="方正小标宋_GBK" w:cs="Times New Roman"/>
          <w:kern w:val="0"/>
          <w:sz w:val="48"/>
          <w:szCs w:val="48"/>
        </w:rPr>
        <w:object>
          <v:shape id="_x0000_i1025" o:spt="75" type="#_x0000_t75" style="height:573.75pt;width:428.25pt;" o:ole="t" filled="f" o:preferrelative="t" stroked="f" coordsize="21600,21600">
            <v:path/>
            <v:fill on="f" focussize="0,0"/>
            <v:stroke on="f"/>
            <v:imagedata r:id="rId6" o:title=""/>
            <o:lock v:ext="edit" aspectratio="t"/>
            <w10:wrap type="none"/>
            <w10:anchorlock/>
          </v:shape>
          <o:OLEObject Type="Embed" ProgID="Word.Document.12" ShapeID="_x0000_i1025" DrawAspect="Content" ObjectID="_1468075725" r:id="rId5">
            <o:LockedField>false</o:LockedField>
          </o:OLEObject>
        </w:object>
      </w:r>
      <w:r>
        <w:rPr>
          <w:rFonts w:hint="eastAsia" w:eastAsia="方正小标宋_GBK"/>
          <w:kern w:val="0"/>
          <w:sz w:val="48"/>
          <w:szCs w:val="48"/>
          <w:lang w:eastAsia="zh-CN"/>
        </w:rPr>
        <w:t>红十字专项业务费</w:t>
      </w:r>
      <w:r>
        <w:rPr>
          <w:rFonts w:hint="default" w:ascii="Times New Roman" w:hAnsi="Times New Roman" w:eastAsia="方正小标宋_GBK" w:cs="Times New Roman"/>
          <w:kern w:val="0"/>
          <w:sz w:val="48"/>
          <w:szCs w:val="48"/>
        </w:rPr>
        <w:t>项目支出绩效评价</w:t>
      </w:r>
    </w:p>
    <w:p>
      <w:pPr>
        <w:spacing w:line="540" w:lineRule="exact"/>
        <w:jc w:val="center"/>
        <w:rPr>
          <w:rFonts w:hint="default" w:ascii="Times New Roman" w:hAnsi="Times New Roman" w:eastAsia="方正小标宋_GBK" w:cs="Times New Roman"/>
          <w:kern w:val="0"/>
          <w:sz w:val="48"/>
          <w:szCs w:val="48"/>
        </w:rPr>
      </w:pPr>
      <w:r>
        <w:rPr>
          <w:rFonts w:hint="default" w:ascii="Times New Roman" w:hAnsi="Times New Roman" w:eastAsia="方正小标宋_GBK" w:cs="Times New Roman"/>
          <w:kern w:val="0"/>
          <w:sz w:val="48"/>
          <w:szCs w:val="48"/>
        </w:rPr>
        <w:t>报告</w:t>
      </w:r>
    </w:p>
    <w:p>
      <w:pPr>
        <w:spacing w:line="540" w:lineRule="exact"/>
        <w:jc w:val="center"/>
        <w:rPr>
          <w:rFonts w:hint="default" w:ascii="Times New Roman" w:hAnsi="Times New Roman" w:eastAsia="华文中宋" w:cs="Times New Roman"/>
          <w:b/>
          <w:kern w:val="0"/>
          <w:sz w:val="52"/>
          <w:szCs w:val="52"/>
        </w:rPr>
      </w:pPr>
    </w:p>
    <w:p>
      <w:pPr>
        <w:spacing w:line="540" w:lineRule="exact"/>
        <w:jc w:val="center"/>
        <w:rPr>
          <w:rFonts w:hint="default" w:ascii="Times New Roman" w:hAnsi="Times New Roman" w:eastAsia="仿宋_GB2312" w:cs="Times New Roman"/>
          <w:kern w:val="0"/>
          <w:sz w:val="36"/>
          <w:szCs w:val="36"/>
        </w:rPr>
      </w:pPr>
      <w:r>
        <w:rPr>
          <w:rFonts w:hint="default" w:ascii="Times New Roman" w:hAnsi="Times New Roman" w:eastAsia="仿宋_GB2312" w:cs="Times New Roman"/>
          <w:kern w:val="0"/>
          <w:sz w:val="36"/>
          <w:szCs w:val="36"/>
        </w:rPr>
        <w:t>（ 202</w:t>
      </w:r>
      <w:r>
        <w:rPr>
          <w:rFonts w:hint="eastAsia" w:eastAsia="仿宋_GB2312" w:cs="Times New Roman"/>
          <w:kern w:val="0"/>
          <w:sz w:val="36"/>
          <w:szCs w:val="36"/>
          <w:lang w:val="en-US" w:eastAsia="zh-CN"/>
        </w:rPr>
        <w:t>3</w:t>
      </w:r>
      <w:r>
        <w:rPr>
          <w:rFonts w:hint="default" w:ascii="Times New Roman" w:hAnsi="Times New Roman" w:eastAsia="仿宋_GB2312" w:cs="Times New Roman"/>
          <w:kern w:val="0"/>
          <w:sz w:val="36"/>
          <w:szCs w:val="36"/>
        </w:rPr>
        <w:t>年度）</w:t>
      </w:r>
    </w:p>
    <w:p>
      <w:pPr>
        <w:spacing w:line="540" w:lineRule="exact"/>
        <w:jc w:val="center"/>
        <w:rPr>
          <w:rFonts w:hint="default" w:ascii="Times New Roman" w:hAnsi="Times New Roman" w:eastAsia="仿宋_GB2312" w:cs="Times New Roman"/>
          <w:kern w:val="0"/>
          <w:sz w:val="30"/>
          <w:szCs w:val="30"/>
        </w:rPr>
      </w:pPr>
    </w:p>
    <w:p>
      <w:pPr>
        <w:spacing w:line="540" w:lineRule="exact"/>
        <w:jc w:val="center"/>
        <w:rPr>
          <w:rFonts w:hint="default" w:ascii="Times New Roman" w:hAnsi="Times New Roman" w:eastAsia="仿宋_GB2312" w:cs="Times New Roman"/>
          <w:kern w:val="0"/>
          <w:sz w:val="30"/>
          <w:szCs w:val="30"/>
        </w:rPr>
      </w:pPr>
    </w:p>
    <w:p>
      <w:pPr>
        <w:spacing w:line="540" w:lineRule="exact"/>
        <w:jc w:val="center"/>
        <w:rPr>
          <w:rFonts w:hint="default" w:ascii="Times New Roman" w:hAnsi="Times New Roman" w:eastAsia="仿宋_GB2312" w:cs="Times New Roman"/>
          <w:kern w:val="0"/>
          <w:sz w:val="30"/>
          <w:szCs w:val="30"/>
        </w:rPr>
      </w:pPr>
    </w:p>
    <w:p>
      <w:pPr>
        <w:pStyle w:val="10"/>
        <w:rPr>
          <w:rFonts w:hint="default" w:ascii="Times New Roman" w:hAnsi="Times New Roman" w:cs="Times New Roman"/>
        </w:rPr>
      </w:pPr>
    </w:p>
    <w:p>
      <w:pPr>
        <w:spacing w:line="540" w:lineRule="exact"/>
        <w:jc w:val="center"/>
        <w:rPr>
          <w:rFonts w:hint="default" w:ascii="Times New Roman" w:hAnsi="Times New Roman" w:eastAsia="仿宋_GB2312" w:cs="Times New Roman"/>
          <w:kern w:val="0"/>
          <w:sz w:val="30"/>
          <w:szCs w:val="30"/>
        </w:rPr>
      </w:pPr>
    </w:p>
    <w:p>
      <w:pPr>
        <w:spacing w:line="540" w:lineRule="exact"/>
        <w:rPr>
          <w:rFonts w:hint="default" w:ascii="Times New Roman" w:hAnsi="Times New Roman" w:eastAsia="仿宋_GB2312" w:cs="Times New Roman"/>
          <w:kern w:val="0"/>
          <w:sz w:val="30"/>
          <w:szCs w:val="30"/>
        </w:rPr>
      </w:pPr>
    </w:p>
    <w:p>
      <w:pPr>
        <w:spacing w:line="700" w:lineRule="exact"/>
        <w:ind w:firstLine="1440" w:firstLineChars="400"/>
        <w:jc w:val="left"/>
        <w:rPr>
          <w:rFonts w:hint="default" w:ascii="Times New Roman" w:hAnsi="Times New Roman" w:eastAsia="仿宋_GB2312" w:cs="Times New Roman"/>
          <w:kern w:val="0"/>
          <w:sz w:val="36"/>
          <w:szCs w:val="36"/>
          <w:lang w:val="en-US" w:eastAsia="zh-CN"/>
        </w:rPr>
      </w:pPr>
      <w:r>
        <w:rPr>
          <w:rFonts w:hint="default" w:ascii="Times New Roman" w:hAnsi="Times New Roman" w:eastAsia="仿宋_GB2312" w:cs="Times New Roman"/>
          <w:kern w:val="0"/>
          <w:sz w:val="36"/>
          <w:szCs w:val="36"/>
        </w:rPr>
        <w:t>项目名称：</w:t>
      </w:r>
      <w:r>
        <w:rPr>
          <w:rFonts w:hint="eastAsia" w:eastAsia="仿宋_GB2312"/>
          <w:kern w:val="0"/>
          <w:sz w:val="36"/>
          <w:szCs w:val="36"/>
          <w:lang w:eastAsia="zh-CN"/>
        </w:rPr>
        <w:t>红十字专项业务费</w:t>
      </w:r>
    </w:p>
    <w:p>
      <w:pPr>
        <w:spacing w:line="700" w:lineRule="exact"/>
        <w:ind w:firstLine="1440" w:firstLineChars="400"/>
        <w:jc w:val="left"/>
        <w:rPr>
          <w:rFonts w:hint="default" w:ascii="Times New Roman" w:hAnsi="Times New Roman" w:eastAsia="仿宋_GB2312" w:cs="Times New Roman"/>
          <w:kern w:val="0"/>
          <w:sz w:val="36"/>
          <w:szCs w:val="36"/>
          <w:lang w:val="en-US" w:eastAsia="zh-CN"/>
        </w:rPr>
      </w:pPr>
      <w:r>
        <w:rPr>
          <w:rFonts w:hint="default" w:ascii="Times New Roman" w:hAnsi="Times New Roman" w:eastAsia="仿宋_GB2312" w:cs="Times New Roman"/>
          <w:kern w:val="0"/>
          <w:sz w:val="36"/>
          <w:szCs w:val="36"/>
        </w:rPr>
        <w:t>实施单位（公章）：</w:t>
      </w:r>
      <w:r>
        <w:rPr>
          <w:rFonts w:hint="eastAsia" w:eastAsia="仿宋_GB2312"/>
          <w:kern w:val="0"/>
          <w:sz w:val="36"/>
          <w:szCs w:val="36"/>
          <w:lang w:eastAsia="zh-CN"/>
        </w:rPr>
        <w:t>哈密市红十字会</w:t>
      </w:r>
    </w:p>
    <w:p>
      <w:pPr>
        <w:spacing w:line="700" w:lineRule="exact"/>
        <w:ind w:firstLine="1440" w:firstLineChars="400"/>
        <w:jc w:val="left"/>
        <w:rPr>
          <w:rFonts w:hint="default" w:ascii="Times New Roman" w:hAnsi="Times New Roman" w:eastAsia="仿宋_GB2312" w:cs="Times New Roman"/>
          <w:kern w:val="0"/>
          <w:sz w:val="36"/>
          <w:szCs w:val="36"/>
          <w:lang w:val="en-US" w:eastAsia="zh-CN"/>
        </w:rPr>
      </w:pPr>
      <w:r>
        <w:rPr>
          <w:rFonts w:hint="default" w:ascii="Times New Roman" w:hAnsi="Times New Roman" w:eastAsia="仿宋_GB2312" w:cs="Times New Roman"/>
          <w:kern w:val="0"/>
          <w:sz w:val="36"/>
          <w:szCs w:val="36"/>
        </w:rPr>
        <w:t>主管部门（公章）：</w:t>
      </w:r>
      <w:r>
        <w:rPr>
          <w:rFonts w:hint="eastAsia" w:eastAsia="仿宋_GB2312"/>
          <w:kern w:val="0"/>
          <w:sz w:val="36"/>
          <w:szCs w:val="36"/>
          <w:lang w:eastAsia="zh-CN"/>
        </w:rPr>
        <w:t>哈密市红十字会</w:t>
      </w:r>
    </w:p>
    <w:p>
      <w:pPr>
        <w:spacing w:line="700" w:lineRule="exact"/>
        <w:ind w:firstLine="1440" w:firstLineChars="400"/>
        <w:jc w:val="left"/>
        <w:rPr>
          <w:rFonts w:hint="eastAsia" w:ascii="Times New Roman" w:hAnsi="Times New Roman" w:eastAsia="仿宋_GB2312" w:cs="Times New Roman"/>
          <w:kern w:val="0"/>
          <w:sz w:val="36"/>
          <w:szCs w:val="36"/>
          <w:lang w:eastAsia="zh-CN"/>
        </w:rPr>
      </w:pPr>
      <w:r>
        <w:rPr>
          <w:rFonts w:hint="default" w:ascii="Times New Roman" w:hAnsi="Times New Roman" w:eastAsia="仿宋_GB2312" w:cs="Times New Roman"/>
          <w:kern w:val="0"/>
          <w:sz w:val="36"/>
          <w:szCs w:val="36"/>
        </w:rPr>
        <w:t>项目负责人（签章）：</w:t>
      </w:r>
      <w:r>
        <w:rPr>
          <w:rFonts w:hint="eastAsia" w:eastAsia="仿宋_GB2312" w:cs="Times New Roman"/>
          <w:kern w:val="0"/>
          <w:sz w:val="36"/>
          <w:szCs w:val="36"/>
          <w:lang w:eastAsia="zh-CN"/>
        </w:rPr>
        <w:t>景文宏</w:t>
      </w:r>
    </w:p>
    <w:p>
      <w:pPr>
        <w:spacing w:line="700" w:lineRule="exact"/>
        <w:ind w:firstLine="1440" w:firstLineChars="400"/>
        <w:jc w:val="left"/>
        <w:rPr>
          <w:rFonts w:hint="default" w:ascii="Times New Roman" w:hAnsi="Times New Roman" w:eastAsia="仿宋_GB2312" w:cs="Times New Roman"/>
          <w:kern w:val="0"/>
          <w:sz w:val="36"/>
          <w:szCs w:val="36"/>
        </w:rPr>
      </w:pPr>
      <w:r>
        <w:rPr>
          <w:rFonts w:hint="default" w:ascii="Times New Roman" w:hAnsi="Times New Roman" w:eastAsia="仿宋_GB2312" w:cs="Times New Roman"/>
          <w:kern w:val="0"/>
          <w:sz w:val="36"/>
          <w:szCs w:val="36"/>
        </w:rPr>
        <w:t>填报时间：</w:t>
      </w:r>
      <w:r>
        <w:rPr>
          <w:rFonts w:hint="default" w:ascii="Times New Roman" w:hAnsi="Times New Roman" w:eastAsia="仿宋_GB2312" w:cs="Times New Roman"/>
          <w:kern w:val="0"/>
          <w:sz w:val="36"/>
          <w:szCs w:val="36"/>
          <w:lang w:val="en-US" w:eastAsia="zh-CN"/>
        </w:rPr>
        <w:t>202</w:t>
      </w:r>
      <w:r>
        <w:rPr>
          <w:rFonts w:hint="eastAsia" w:eastAsia="仿宋_GB2312" w:cs="Times New Roman"/>
          <w:kern w:val="0"/>
          <w:sz w:val="36"/>
          <w:szCs w:val="36"/>
          <w:lang w:val="en-US" w:eastAsia="zh-CN"/>
        </w:rPr>
        <w:t>4</w:t>
      </w:r>
      <w:r>
        <w:rPr>
          <w:rFonts w:hint="default" w:ascii="Times New Roman" w:hAnsi="Times New Roman" w:eastAsia="仿宋_GB2312" w:cs="Times New Roman"/>
          <w:kern w:val="0"/>
          <w:sz w:val="36"/>
          <w:szCs w:val="36"/>
        </w:rPr>
        <w:t>年</w:t>
      </w:r>
      <w:r>
        <w:rPr>
          <w:rFonts w:hint="eastAsia" w:eastAsia="仿宋_GB2312" w:cs="Times New Roman"/>
          <w:kern w:val="0"/>
          <w:sz w:val="36"/>
          <w:szCs w:val="36"/>
          <w:lang w:val="en-US" w:eastAsia="zh-CN"/>
        </w:rPr>
        <w:t>3</w:t>
      </w:r>
      <w:r>
        <w:rPr>
          <w:rFonts w:hint="default" w:ascii="Times New Roman" w:hAnsi="Times New Roman" w:eastAsia="仿宋_GB2312" w:cs="Times New Roman"/>
          <w:kern w:val="0"/>
          <w:sz w:val="36"/>
          <w:szCs w:val="36"/>
        </w:rPr>
        <w:t>月</w:t>
      </w:r>
      <w:r>
        <w:rPr>
          <w:rFonts w:hint="eastAsia" w:eastAsia="仿宋_GB2312" w:cs="Times New Roman"/>
          <w:kern w:val="0"/>
          <w:sz w:val="36"/>
          <w:szCs w:val="36"/>
          <w:lang w:val="en-US" w:eastAsia="zh-CN"/>
        </w:rPr>
        <w:t>26</w:t>
      </w:r>
      <w:r>
        <w:rPr>
          <w:rFonts w:hint="default" w:ascii="Times New Roman" w:hAnsi="Times New Roman" w:eastAsia="仿宋_GB2312" w:cs="Times New Roman"/>
          <w:kern w:val="0"/>
          <w:sz w:val="36"/>
          <w:szCs w:val="36"/>
        </w:rPr>
        <w:t>日</w:t>
      </w:r>
    </w:p>
    <w:p>
      <w:pPr>
        <w:spacing w:line="540" w:lineRule="exact"/>
        <w:jc w:val="center"/>
        <w:rPr>
          <w:rFonts w:hint="default" w:ascii="Times New Roman" w:hAnsi="Times New Roman" w:eastAsia="仿宋_GB2312" w:cs="Times New Roman"/>
          <w:kern w:val="0"/>
          <w:sz w:val="30"/>
          <w:szCs w:val="30"/>
        </w:rPr>
      </w:pPr>
    </w:p>
    <w:p>
      <w:pPr>
        <w:spacing w:line="560" w:lineRule="exact"/>
        <w:rPr>
          <w:rFonts w:hint="default" w:ascii="Times New Roman" w:hAnsi="Times New Roman" w:eastAsia="黑体" w:cs="Times New Roman"/>
          <w:bCs/>
          <w:sz w:val="32"/>
          <w:szCs w:val="32"/>
        </w:rPr>
        <w:sectPr>
          <w:footerReference r:id="rId3" w:type="default"/>
          <w:pgSz w:w="11906" w:h="16838"/>
          <w:pgMar w:top="1440" w:right="1558" w:bottom="1440" w:left="1800" w:header="851" w:footer="992" w:gutter="0"/>
          <w:cols w:space="425" w:num="1"/>
          <w:docGrid w:type="lines" w:linePitch="312" w:charSpace="0"/>
        </w:sectPr>
      </w:pP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一、基本情况</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方正楷体_GB2312" w:hAnsi="方正楷体_GB2312" w:eastAsia="方正楷体_GB2312" w:cs="方正楷体_GB2312"/>
          <w:b/>
          <w:bCs/>
          <w:sz w:val="32"/>
          <w:szCs w:val="32"/>
        </w:rPr>
      </w:pPr>
      <w:r>
        <w:rPr>
          <w:rFonts w:hint="default" w:ascii="方正楷体_GB2312" w:hAnsi="方正楷体_GB2312" w:eastAsia="方正楷体_GB2312" w:cs="方正楷体_GB2312"/>
          <w:b/>
          <w:bCs/>
          <w:sz w:val="32"/>
          <w:szCs w:val="32"/>
        </w:rPr>
        <w:t>（一）项目概况</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w:t>
      </w:r>
      <w:r>
        <w:rPr>
          <w:rFonts w:hint="default" w:ascii="Times New Roman" w:hAnsi="Times New Roman" w:eastAsia="仿宋_GB2312" w:cs="Times New Roman"/>
          <w:b/>
          <w:bCs/>
          <w:sz w:val="32"/>
          <w:szCs w:val="32"/>
          <w:lang w:val="en-US" w:eastAsia="zh-CN"/>
        </w:rPr>
        <w:t>.</w:t>
      </w:r>
      <w:r>
        <w:rPr>
          <w:rFonts w:hint="default" w:ascii="Times New Roman" w:hAnsi="Times New Roman" w:eastAsia="仿宋_GB2312" w:cs="Times New Roman"/>
          <w:b/>
          <w:bCs/>
          <w:sz w:val="32"/>
          <w:szCs w:val="32"/>
        </w:rPr>
        <w:t>项目背景</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仿宋_GB2312" w:hAnsi="仿宋_GB2312" w:eastAsia="仿宋_GB2312" w:cs="仿宋_GB2312"/>
        </w:rPr>
      </w:pPr>
      <w:r>
        <w:rPr>
          <w:rFonts w:hint="eastAsia" w:ascii="Times New Roman" w:hAnsi="Times New Roman" w:eastAsia="仿宋_GB2312" w:cs="Times New Roman"/>
          <w:sz w:val="32"/>
          <w:szCs w:val="32"/>
          <w:lang w:val="en-US" w:eastAsia="zh-CN"/>
        </w:rPr>
        <w:t>哈密市红十字会依据《中华人民共和国红十字会法》《关于促进红十字事业发展的意见》《关于进一步促进红十字事业发展的意见》担负着备灾救灾、人道救助、初级卫生救护培训等职责，为了更好地履行职责，在市委、</w:t>
      </w:r>
      <w:r>
        <w:rPr>
          <w:rFonts w:hint="eastAsia" w:eastAsia="仿宋_GB2312" w:cs="Times New Roman"/>
          <w:sz w:val="32"/>
          <w:szCs w:val="32"/>
          <w:lang w:val="en-US" w:eastAsia="zh-CN"/>
        </w:rPr>
        <w:t>市</w:t>
      </w:r>
      <w:r>
        <w:rPr>
          <w:rFonts w:hint="eastAsia" w:ascii="Times New Roman" w:hAnsi="Times New Roman" w:eastAsia="仿宋_GB2312" w:cs="Times New Roman"/>
          <w:sz w:val="32"/>
          <w:szCs w:val="32"/>
          <w:lang w:val="en-US" w:eastAsia="zh-CN"/>
        </w:rPr>
        <w:t>政府的领导和上级红十字会的指导帮助下，哈密红十字系统将积极开展灾害应急救援，应急救援队伍建设，受灾困难人群人道救助，应急救护普及及培训和生命安全教育宣传推广等“三救三献”工作，特别是在灾害及突发事件后，广泛动员人道力量，积极参与重大自然灾害和突发事件的应急人道救援救助工作。</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sz w:val="32"/>
          <w:szCs w:val="32"/>
        </w:rPr>
      </w:pPr>
      <w:r>
        <w:rPr>
          <w:rFonts w:hint="eastAsia" w:eastAsia="仿宋_GB2312" w:cs="Times New Roman"/>
          <w:b/>
          <w:bCs/>
          <w:sz w:val="32"/>
          <w:szCs w:val="32"/>
          <w:lang w:val="en-US" w:eastAsia="zh-CN"/>
        </w:rPr>
        <w:t>2.</w:t>
      </w:r>
      <w:r>
        <w:rPr>
          <w:rFonts w:hint="default" w:ascii="Times New Roman" w:hAnsi="Times New Roman" w:eastAsia="仿宋_GB2312" w:cs="Times New Roman"/>
          <w:b/>
          <w:bCs/>
          <w:sz w:val="32"/>
          <w:szCs w:val="32"/>
        </w:rPr>
        <w:t>项目主要内容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开展备灾救灾工作，储备救灾物资，建设和维护备灾救灾物资、设施以及仓库的管理；建立应急救援队伍，开展应急救援演练，参与灾后重建工作；（2）开展红十字事业宣传，促进人道精神传播；开展群众性应急救护和防灾减灾知识宣传、普及、培训；提高大众应急情况下的自救互救能力；（3）开展人道救助及相关服务工作；对易受损人群、困难群众进行救助；（4）加大对“三救三献”工作的宣传、动员、人员培训等推动工作；（5）开展红十字系统干部业务培训和救护大赛，不断提高工作能力，促进哈密红十字事业快速、健康发展，按照项目管理要求，完成事业发展目标。</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outlineLvl w:val="0"/>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3.资金投入和使用情况</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outlineLvl w:val="0"/>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（1）资金投入情况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红十字专项业务费项目2023年总预算资金14万元，项目资金为市财政资金，项目资金到位数14万元，资金到位率100%。</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outlineLvl w:val="0"/>
        <w:rPr>
          <w:rFonts w:hint="eastAsia" w:ascii="Times New Roman" w:hAnsi="Times New Roman" w:eastAsia="仿宋_GB2312" w:cs="Times New Roman"/>
          <w:b/>
          <w:bCs/>
          <w:sz w:val="32"/>
          <w:szCs w:val="32"/>
          <w:lang w:val="en-US" w:eastAsia="zh-CN"/>
        </w:rPr>
      </w:pPr>
      <w:r>
        <w:rPr>
          <w:rFonts w:hint="eastAsia" w:eastAsia="仿宋_GB2312" w:cs="Times New Roman"/>
          <w:b/>
          <w:bCs/>
          <w:sz w:val="32"/>
          <w:szCs w:val="32"/>
          <w:lang w:val="en-US" w:eastAsia="zh-CN"/>
        </w:rPr>
        <w:t>（2）</w:t>
      </w:r>
      <w:r>
        <w:rPr>
          <w:rFonts w:hint="eastAsia" w:ascii="Times New Roman" w:hAnsi="Times New Roman" w:eastAsia="仿宋_GB2312" w:cs="Times New Roman"/>
          <w:b/>
          <w:bCs/>
          <w:sz w:val="32"/>
          <w:szCs w:val="32"/>
          <w:lang w:val="en-US" w:eastAsia="zh-CN"/>
        </w:rPr>
        <w:t>资金使用情况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sz w:val="32"/>
          <w:szCs w:val="32"/>
          <w:lang w:val="en-US" w:eastAsia="zh-CN"/>
        </w:rPr>
        <w:t>红十字专项业务费项目年初预算数14万元，全年预算数为14万元，截止2023年12月31日全年执行数14万元，预算执行率为100%，项目资金主要用于支付开展应急演练、应急救护培训、红十字公益宣传等活动日常公用经费10.5万元，救济社会弱势群体3</w:t>
      </w:r>
      <w:r>
        <w:rPr>
          <w:rFonts w:hint="eastAsia" w:ascii="Times New Roman" w:hAnsi="Times New Roman" w:eastAsia="仿宋_GB2312" w:cs="Times New Roman"/>
          <w:b w:val="0"/>
          <w:bCs w:val="0"/>
          <w:kern w:val="2"/>
          <w:sz w:val="32"/>
          <w:szCs w:val="32"/>
          <w:lang w:val="en-US" w:eastAsia="zh-CN" w:bidi="ar-SA"/>
        </w:rPr>
        <w:t>万元，购买政府储备物资0.5万元。</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rPr>
        <w:t>实施情况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聚焦以人民为中心，解民忧纾民困。一是积极开展“博爱送万家”活动。2023年，累计发放物资9万余元，惠及群众3000余人。二是扎实开展困难家庭救助工作。红十字系统全年共救助困难群众62人，其中学生18人，共发放救助金10.41万元。三是通过“天使之旅--新疆先心病患儿”筛查救助行动和中国红十字会人道救助工作平台救助了6名先心病患儿。</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助力健康哈密行动，全方位推进应急救护知识普及。一是围绕应急救护、救援装备使用、避险常识等内容，举办了市红十字赈济救援队业务培训班。二是为进一步提升广大人民群众自救互救能力，培训持证救护员1072人，向2.9万名各族群众普及应急救护知识；开展“应急救护进校园”活动，向1.3万名学生普及应急救护知识。三是积极协调组织应急管理局、消防救援支队5名队员参加了自治区第八届红十字应急救护大赛，取得团体第三名的好成绩。四是为进一步保障群众生命安全，在哈密机场、哈密宾馆、哈密领先购物广场等5处投放应急救护一体机及体外除颤仪。</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坚持生命至上，扎实推进红十字“三献”工作。市红十字会大力弘扬“人道、博爱、奉献”精神，进一步推动“三献”工作与培育社会主义核心价值观相结合。全市完成造血干细胞采样100人（份），造血干细胞志愿者再动员4人，其中3人采集高分血样。截至目前，全市已累计实现捐献造血干细胞5例，遗体器官捐献7例，造血干细胞志愿者累计注册1300人，遗体器官捐献志愿者累计登记2700人。同时，围绕“6·14”献血者日，组织开展了以“汇聚青春正能量，无偿献血传爱心”为主题的宣传活动。哈密3名志愿者获全国无偿献血表彰奖励，何坚获得无偿献血造血干细胞特别奖，朱雨鑫、王明获得无偿献血造血干细胞奉献奖。</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广泛发动志愿者，积极践行社会主义核心价值观。一是春节期间联合市中心血站在时代广场献血屋开展了应急救护知识普及活动，向群众、献血志愿者、警务人员等讲解应急救护知识，并发放急救包和各类宣传材料。二是组织志愿者在伊州区丽园街道八一路社区、环卫处、回城乡、第十中学等地，为群众和干部职工讲解心肺复苏、创伤救护等应急救护知识，并发放应急救护宣传手册。三是联合哈密市第十六中学开展“学雷锋、献爱心”活动，动员1名爱心人士向伊州区西山乡困难群众捐赠200件衣服；动员1家爱心企业向环卫工人及群众捐赠饮料。四是组织红十字心理援助志愿者在市特警支队、市图书馆、伊州区东河街道等地，开展现场义诊、心理评估测评等心理援助志愿服务活动。市红十字心理援助志愿服务队王静凡获全国红十字志愿服务先进典型称号。市红十字心理援助志愿服务项目荣获2023年度自治区学雷锋志愿服务“四个最美（佳）”先进典型荣誉称号。</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履行职责使命，深入开展筹资募捐活动。一是组织实施“5·8人道公益日”众筹活动。按照自治区红十字会的统一安排部署，面向社会大众宣传“5·8人道公益日”众筹项目，广泛动员社会力量参与众筹活动。二是做好社会捐赠款物接收管理工作。今年以来，市红十字系统共接受捐赠款物58.04万元；不定期对8个募捐箱放置点进行检查，共检查13次、清点募捐箱1个。三是积极做好捐赠款物的接收和转赠工作。接收市建筑业协会36家单位定向捐款18.9万元，并转赠给给河北省红十字会；协助新疆红十字基金会向市中心医院捐赠价值11.97万元的药品。</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方正楷体_GB2312" w:hAnsi="方正楷体_GB2312" w:eastAsia="方正楷体_GB2312" w:cs="方正楷体_GB2312"/>
          <w:b/>
          <w:bCs/>
          <w:sz w:val="32"/>
          <w:szCs w:val="32"/>
        </w:rPr>
      </w:pPr>
      <w:r>
        <w:rPr>
          <w:rFonts w:hint="eastAsia" w:ascii="方正楷体_GB2312" w:hAnsi="方正楷体_GB2312" w:eastAsia="方正楷体_GB2312" w:cs="方正楷体_GB2312"/>
          <w:b/>
          <w:bCs/>
          <w:sz w:val="32"/>
          <w:szCs w:val="32"/>
        </w:rPr>
        <w:t>（二）项目绩效目标</w:t>
      </w:r>
    </w:p>
    <w:p>
      <w:pPr>
        <w:pStyle w:val="10"/>
        <w:keepNext w:val="0"/>
        <w:keepLines w:val="0"/>
        <w:pageBreakBefore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1.总体目标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红十字专项业务费14万元，计划完成应急演练3次，应急救护培训600人次，救助困难群众30人，购置储备物资1批，开展红十字公益宣传活动2次。通过项目实施使红十字精神深入人心，提升广大人民群众爱心意识</w:t>
      </w:r>
      <w:bookmarkStart w:id="5" w:name="_GoBack"/>
      <w:bookmarkEnd w:id="5"/>
      <w:r>
        <w:rPr>
          <w:rFonts w:hint="eastAsia" w:ascii="仿宋_GB2312" w:hAnsi="仿宋_GB2312" w:eastAsia="仿宋_GB2312" w:cs="仿宋_GB2312"/>
          <w:sz w:val="32"/>
          <w:szCs w:val="32"/>
          <w:lang w:val="en-US" w:eastAsia="zh-CN"/>
        </w:rPr>
        <w:t>，并建设一支热爱红十字事业，业务精通，精于高效的专、兼职干部队伍和志愿者队伍；发挥红十字会联系群众的桥梁和纽带作用，大力开展社会救助工作。</w:t>
      </w:r>
    </w:p>
    <w:p>
      <w:pPr>
        <w:pStyle w:val="10"/>
        <w:keepNext w:val="0"/>
        <w:keepLines w:val="0"/>
        <w:pageBreakBefore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val="0"/>
          <w:bCs w:val="0"/>
          <w:kern w:val="2"/>
          <w:sz w:val="32"/>
          <w:szCs w:val="32"/>
          <w:lang w:val="en-US" w:eastAsia="zh-CN"/>
        </w:rPr>
        <w:t>2.阶段性目标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第一季度完成目标：（1）完成赈济救援演练次数1次；（2）完成应急救护培训人数≥100人；（3）完成红十字公益宣传活动次数1次。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第二季度累计完成目标：（1）完成赈济救援演练次数2次；（2）完成应急救护培训人数≥300人；（3）完成救助困难群众人数4人；（4）完成红十字公益宣传活动次数2次；（5）完成购买储备物资数量1批。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第三季度累计完成目标：（1）完成赈济救援演练次数2次；（2）完成应急救护培训人数≥500人；（3）完成救助困难群众10人；（4）完成红十字公益宣传活动次数2次；（5）完成购买储备物资数量1批。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第四季度累计完成目标：（1）完成赈济救援演练次数3次；（2）完成应急救护培训人数≥600人；（3）完成救助困难群众25人；（4）完成红十字公益宣传活动次数≥2次；（5）完成购买储备物资数量1批。</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二、绩效评价工作开展情况</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（一）绩效评价目的、对象和范围</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default" w:ascii="Times New Roman" w:hAnsi="Times New Roman" w:eastAsia="仿宋_GB2312" w:cs="Times New Roman"/>
          <w:b/>
          <w:bCs/>
        </w:rPr>
      </w:pPr>
      <w:r>
        <w:rPr>
          <w:rFonts w:hint="default" w:ascii="Times New Roman" w:hAnsi="Times New Roman" w:eastAsia="仿宋_GB2312" w:cs="Times New Roman"/>
          <w:b/>
          <w:bCs/>
        </w:rPr>
        <w:t>1</w:t>
      </w:r>
      <w:r>
        <w:rPr>
          <w:rFonts w:hint="default" w:ascii="Times New Roman" w:hAnsi="Times New Roman" w:eastAsia="仿宋_GB2312" w:cs="Times New Roman"/>
          <w:b/>
          <w:bCs/>
          <w:lang w:val="en-US" w:eastAsia="zh-CN"/>
        </w:rPr>
        <w:t>.</w:t>
      </w:r>
      <w:r>
        <w:rPr>
          <w:rFonts w:hint="default" w:ascii="Times New Roman" w:hAnsi="Times New Roman" w:eastAsia="仿宋_GB2312" w:cs="Times New Roman"/>
          <w:b/>
          <w:bCs/>
        </w:rPr>
        <w:t>绩效评价的目的</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财政支出绩效评价运用科学、规范的绩效评价方法，制定统一的评价标准，使财政资金得到事前、事中和事后多方面的控制。财政支出绩效评价贯穿于财政支出安排和实施的全过程，是对财政支出效益、管理水平、投入风险等方面的综合评价；是发挥财政调控功能、提高财政资金安排科学性、促进财政支持社会经济目标实现的重要保证。</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项目在实施前向项目负责人提供财政支出绩效方面的资金管理信息，促进项目支出严格按照资金管理规定进行。</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仿宋_GB2312" w:cs="Times New Roman"/>
          <w:sz w:val="32"/>
          <w:szCs w:val="32"/>
        </w:rPr>
        <w:t>（2）项目绩效管理财政支出运行提供及时、有效的信息。综合来看，通过开展有效的财政支出绩效评价管理，全面了解该项目预算编制合理性、资金使用合规性、项目管理的规范性、项目目标的实现情况、服务对象的满意度等，通过本次项目绩效评价来总结经验和教训，促进项目成果转化和应用，为今后类似项目的长效管理，提供可行性参考建议。也为下一年预算编制与评审提供充分有效的依据，以达到改进预算管理、控制节约成本，优化资源配置、提高预算资金使用效益的目的。</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default" w:ascii="Times New Roman" w:hAnsi="Times New Roman" w:eastAsia="仿宋_GB2312" w:cs="Times New Roman"/>
          <w:b/>
          <w:bCs/>
        </w:rPr>
      </w:pPr>
      <w:r>
        <w:rPr>
          <w:rFonts w:hint="default" w:ascii="Times New Roman" w:hAnsi="Times New Roman" w:eastAsia="仿宋_GB2312" w:cs="Times New Roman"/>
          <w:b/>
          <w:bCs/>
        </w:rPr>
        <w:t>2</w:t>
      </w:r>
      <w:r>
        <w:rPr>
          <w:rFonts w:hint="default" w:ascii="Times New Roman" w:hAnsi="Times New Roman" w:eastAsia="仿宋_GB2312" w:cs="Times New Roman"/>
          <w:b/>
          <w:bCs/>
          <w:lang w:val="en-US" w:eastAsia="zh-CN"/>
        </w:rPr>
        <w:t>.</w:t>
      </w:r>
      <w:r>
        <w:rPr>
          <w:rFonts w:hint="default" w:ascii="Times New Roman" w:hAnsi="Times New Roman" w:eastAsia="仿宋_GB2312" w:cs="Times New Roman"/>
          <w:b/>
          <w:bCs/>
        </w:rPr>
        <w:t>绩效评价的对象</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lang w:val="en-US" w:eastAsia="zh-CN"/>
        </w:rPr>
        <w:t>红十字专项业务费</w:t>
      </w:r>
      <w:r>
        <w:rPr>
          <w:rFonts w:hint="default" w:ascii="Times New Roman" w:hAnsi="Times New Roman" w:eastAsia="仿宋_GB2312" w:cs="Times New Roman"/>
          <w:kern w:val="0"/>
          <w:sz w:val="32"/>
          <w:szCs w:val="32"/>
          <w:lang w:val="en-US" w:eastAsia="zh-CN" w:bidi="ar-SA"/>
        </w:rPr>
        <w:t>项目所包含</w:t>
      </w:r>
      <w:r>
        <w:rPr>
          <w:rFonts w:hint="default" w:ascii="Times New Roman" w:hAnsi="Times New Roman" w:eastAsia="仿宋_GB2312" w:cs="Times New Roman"/>
          <w:sz w:val="32"/>
          <w:szCs w:val="32"/>
        </w:rPr>
        <w:t>的全部项目内容。</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default" w:ascii="Times New Roman" w:hAnsi="Times New Roman" w:eastAsia="仿宋_GB2312" w:cs="Times New Roman"/>
          <w:b/>
          <w:bCs/>
        </w:rPr>
      </w:pPr>
      <w:r>
        <w:rPr>
          <w:rFonts w:hint="default" w:ascii="Times New Roman" w:hAnsi="Times New Roman" w:eastAsia="仿宋_GB2312" w:cs="Times New Roman"/>
          <w:b/>
          <w:bCs/>
        </w:rPr>
        <w:t>3</w:t>
      </w:r>
      <w:r>
        <w:rPr>
          <w:rFonts w:hint="default" w:ascii="Times New Roman" w:hAnsi="Times New Roman" w:eastAsia="仿宋_GB2312" w:cs="Times New Roman"/>
          <w:b/>
          <w:bCs/>
          <w:lang w:val="en-US" w:eastAsia="zh-CN"/>
        </w:rPr>
        <w:t>.</w:t>
      </w:r>
      <w:r>
        <w:rPr>
          <w:rFonts w:hint="default" w:ascii="Times New Roman" w:hAnsi="Times New Roman" w:eastAsia="仿宋_GB2312" w:cs="Times New Roman"/>
          <w:b/>
          <w:bCs/>
        </w:rPr>
        <w:t>绩效评价的范围</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本次评价从项目决策（包括绩效目标、决策过程）、项目管理（包括项目资金、项目实施）、项目产出（包括项目产出数量、产出质量、产出时效和产出成本）项目效益四个维度对</w:t>
      </w:r>
      <w:r>
        <w:rPr>
          <w:rFonts w:hint="eastAsia" w:ascii="仿宋_GB2312" w:hAnsi="仿宋_GB2312" w:eastAsia="仿宋_GB2312" w:cs="仿宋_GB2312"/>
          <w:sz w:val="32"/>
          <w:szCs w:val="32"/>
          <w:lang w:val="en-US" w:eastAsia="zh-CN"/>
        </w:rPr>
        <w:t>红十字专项业务费</w:t>
      </w:r>
      <w:r>
        <w:rPr>
          <w:rFonts w:hint="default" w:ascii="Times New Roman" w:hAnsi="Times New Roman" w:eastAsia="仿宋_GB2312" w:cs="Times New Roman"/>
          <w:sz w:val="32"/>
          <w:szCs w:val="32"/>
          <w:highlight w:val="none"/>
        </w:rPr>
        <w:t>项目进行评</w:t>
      </w:r>
      <w:r>
        <w:rPr>
          <w:rFonts w:hint="default" w:ascii="Times New Roman" w:hAnsi="Times New Roman" w:eastAsia="仿宋_GB2312" w:cs="Times New Roman"/>
          <w:sz w:val="32"/>
          <w:szCs w:val="32"/>
        </w:rPr>
        <w:t>价，评价核心为专项资金的支出完成情况和效果。</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cs="Times New Roman"/>
        </w:rPr>
      </w:pPr>
      <w:r>
        <w:rPr>
          <w:rFonts w:hint="default" w:ascii="Times New Roman" w:hAnsi="Times New Roman" w:eastAsia="楷体_GB2312" w:cs="Times New Roman"/>
          <w:b/>
          <w:bCs/>
          <w:sz w:val="32"/>
          <w:szCs w:val="32"/>
        </w:rPr>
        <w:t>（二）绩效评价原则、评价指标体系（详情见表1）、评价方法、评价标准。</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default" w:ascii="Times New Roman" w:hAnsi="Times New Roman" w:eastAsia="仿宋_GB2312" w:cs="Times New Roman"/>
          <w:b/>
          <w:bCs/>
        </w:rPr>
      </w:pPr>
      <w:r>
        <w:rPr>
          <w:rFonts w:hint="default" w:ascii="Times New Roman" w:hAnsi="Times New Roman" w:eastAsia="仿宋_GB2312" w:cs="Times New Roman"/>
          <w:b/>
          <w:bCs/>
        </w:rPr>
        <w:t>1</w:t>
      </w:r>
      <w:r>
        <w:rPr>
          <w:rFonts w:hint="default" w:ascii="Times New Roman" w:hAnsi="Times New Roman" w:eastAsia="仿宋_GB2312" w:cs="Times New Roman"/>
          <w:b/>
          <w:bCs/>
          <w:lang w:val="en-US" w:eastAsia="zh-CN"/>
        </w:rPr>
        <w:t>.</w:t>
      </w:r>
      <w:r>
        <w:rPr>
          <w:rFonts w:hint="default" w:ascii="Times New Roman" w:hAnsi="Times New Roman" w:eastAsia="仿宋_GB2312" w:cs="Times New Roman"/>
          <w:b/>
          <w:bCs/>
        </w:rPr>
        <w:t>绩效评价原则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本次项目绩效评价遵循以下基本原则：</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（1）科学公正。绩效评价应当运用科学合理的方法，按照规范的程序，对项目绩效进行客观、公正的反映。</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（2）统筹兼顾。单位自评、部门评价和财政评价应职责明确，各有侧重，相互衔接。单位自评应由项目单位自主实施，即“谁支出、谁自评”。部门评价和财政评价应在单位自评的基础上开展。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（3）激励约束。绩效评价结果应与预算安排、政策调整、改进管理实质性挂钩，体现奖优罚劣和激励相容导向，有效要安排、低效要压减、无效要问责。</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（4）公开透明。绩效评价结果应依法依规公开，并自觉接受社会监督。</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default" w:ascii="Times New Roman" w:hAnsi="Times New Roman" w:eastAsia="仿宋_GB2312" w:cs="Times New Roman"/>
          <w:b/>
          <w:bCs/>
        </w:rPr>
      </w:pPr>
      <w:r>
        <w:rPr>
          <w:rFonts w:hint="default" w:ascii="Times New Roman" w:hAnsi="Times New Roman" w:eastAsia="仿宋_GB2312" w:cs="Times New Roman"/>
          <w:b/>
          <w:bCs/>
        </w:rPr>
        <w:t>2</w:t>
      </w:r>
      <w:r>
        <w:rPr>
          <w:rFonts w:hint="default" w:ascii="Times New Roman" w:hAnsi="Times New Roman" w:eastAsia="仿宋_GB2312" w:cs="Times New Roman"/>
          <w:b/>
          <w:bCs/>
          <w:lang w:val="en-US" w:eastAsia="zh-CN"/>
        </w:rPr>
        <w:t>.</w:t>
      </w:r>
      <w:r>
        <w:rPr>
          <w:rFonts w:hint="default" w:ascii="Times New Roman" w:hAnsi="Times New Roman" w:eastAsia="仿宋_GB2312" w:cs="Times New Roman"/>
          <w:b/>
          <w:bCs/>
        </w:rPr>
        <w:t>评价指标体系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绩效评价框架是开展绩效评价的核心。绩效评价框架包括评价准则、关键评价问题、评价指标、数据来源、数据收集方法等。指标体系建立过程如下：</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（1）确定评价指标</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采用层次分析法，建立评价指标体系。绩效评价将指标分为项目决策指标、项目过程指标、项目产出指标、项目效益指标四个维度，最终形成一个由多个相互联系的指标组成的多层次指标体系。</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（2）确定权重</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确定各个指标相对于项目总体绩效的权重分值。在绩效评价指标体系中，项目决策权重为20分，项目过程权重为20分，项目产出权重为30分，项目成本权重10分，项目效益权重为20分。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（3）确定指标标准值</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指标标准值是绩效评价指标的尺度，既要反映同类项目的先进水平，又要符合项目的实际绩效水平。具体采用计划标准等确定此次绩效评价指标标准值。</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绩效评价总分值100分，根据综合评分结果，评价计分90分-100分（含90分）对应的评分结果级别为优，80-90分（含80分）对应的评分结果级别为良，60-80分（含60分）对应的评分结果级别为中，60分以下对应的评分结果级别为差。具体评价指标体系详情见附件1</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outlineLvl w:val="9"/>
        <w:rPr>
          <w:rFonts w:hint="default" w:ascii="Times New Roman" w:hAnsi="Times New Roman" w:eastAsia="仿宋_GB2312" w:cs="Times New Roman"/>
          <w:b/>
          <w:bCs/>
        </w:rPr>
      </w:pPr>
      <w:r>
        <w:rPr>
          <w:rFonts w:hint="default" w:ascii="Times New Roman" w:hAnsi="Times New Roman" w:eastAsia="仿宋_GB2312" w:cs="Times New Roman"/>
          <w:b/>
          <w:bCs/>
        </w:rPr>
        <w:t>3</w:t>
      </w:r>
      <w:r>
        <w:rPr>
          <w:rFonts w:hint="default" w:ascii="Times New Roman" w:hAnsi="Times New Roman" w:eastAsia="仿宋_GB2312" w:cs="Times New Roman"/>
          <w:b/>
          <w:bCs/>
          <w:lang w:val="en-US" w:eastAsia="zh-CN"/>
        </w:rPr>
        <w:t>.</w:t>
      </w:r>
      <w:r>
        <w:rPr>
          <w:rFonts w:hint="default" w:ascii="Times New Roman" w:hAnsi="Times New Roman" w:eastAsia="仿宋_GB2312" w:cs="Times New Roman"/>
          <w:b/>
          <w:bCs/>
        </w:rPr>
        <w:t>绩效评价方法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绩效评价从项目决策、项目过程、项目产出、项目效益四个维度进行评价。评价对象为项目目标实施情况，评价核心为资金的支出完成情况和项目的产出效益。</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本次评价指标中，既有定性指标又有定量指标，各类指标因考核内容不同和客观标准不同存在较大差异，因此核定具体指标时采用了不同方法，具体评价方法如下：</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比较法</w:t>
      </w:r>
      <w:r>
        <w:rPr>
          <w:rFonts w:hint="eastAsia" w:eastAsia="仿宋_GB2312" w:cs="Times New Roman"/>
          <w:b/>
          <w:bCs/>
          <w:sz w:val="32"/>
          <w:szCs w:val="32"/>
          <w:lang w:eastAsia="zh-CN"/>
        </w:rPr>
        <w:t>：</w:t>
      </w:r>
      <w:r>
        <w:rPr>
          <w:rFonts w:hint="default" w:ascii="Times New Roman" w:hAnsi="Times New Roman" w:eastAsia="仿宋_GB2312" w:cs="Times New Roman"/>
          <w:sz w:val="32"/>
          <w:szCs w:val="32"/>
        </w:rPr>
        <w:t>通过对绩效目标与实施效果、历史与当期情况，综合分析绩效目标实现程度。对项目最终验收情况与年度绩效目标对比、预算资金执行情况等相关因素进行比较。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default"/>
          <w:b w:val="0"/>
          <w:bCs w:val="0"/>
          <w:color w:val="auto"/>
        </w:rPr>
      </w:pPr>
      <w:r>
        <w:rPr>
          <w:rFonts w:hint="eastAsia" w:ascii="仿宋_GB2312" w:hAnsi="仿宋_GB2312" w:eastAsia="仿宋_GB2312" w:cs="仿宋_GB2312"/>
          <w:b/>
          <w:bCs/>
          <w:color w:val="auto"/>
          <w:sz w:val="32"/>
          <w:szCs w:val="32"/>
          <w:lang w:val="en-US" w:eastAsia="zh-CN"/>
        </w:rPr>
        <w:t>因素分析法：</w:t>
      </w:r>
      <w:r>
        <w:rPr>
          <w:rFonts w:hint="eastAsia" w:ascii="仿宋_GB2312" w:hAnsi="仿宋_GB2312" w:eastAsia="仿宋_GB2312" w:cs="仿宋_GB2312"/>
          <w:color w:val="auto"/>
          <w:sz w:val="32"/>
          <w:szCs w:val="32"/>
          <w:lang w:val="en-US" w:eastAsia="zh-CN"/>
        </w:rPr>
        <w:t>综合分析影响财政资金绩效目标实现以及实施效果的内部、外部因素，将影响预期投入和产出的各项因素罗列出来进行分析，计算投入产出比进行评价。</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4</w:t>
      </w:r>
      <w:r>
        <w:rPr>
          <w:rFonts w:hint="eastAsia" w:eastAsia="仿宋_GB2312" w:cs="Times New Roman"/>
          <w:b/>
          <w:bCs/>
          <w:sz w:val="32"/>
          <w:szCs w:val="32"/>
          <w:lang w:val="en-US" w:eastAsia="zh-CN"/>
        </w:rPr>
        <w:t>.</w:t>
      </w:r>
      <w:r>
        <w:rPr>
          <w:rFonts w:hint="default" w:ascii="Times New Roman" w:hAnsi="Times New Roman" w:eastAsia="仿宋_GB2312" w:cs="Times New Roman"/>
          <w:b/>
          <w:bCs/>
          <w:sz w:val="32"/>
          <w:szCs w:val="32"/>
        </w:rPr>
        <w:t>评价标准</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绩效评价标准通常包括计划标准、行业标准、历史标准等，用于对绩效指标完成情况进行比较、分析、评价。本次评价主要采用了计划标准。</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rPr>
      </w:pPr>
      <w:bookmarkStart w:id="0" w:name="_Toc17882"/>
      <w:bookmarkStart w:id="1" w:name="_Toc31464"/>
      <w:r>
        <w:rPr>
          <w:rFonts w:hint="default" w:ascii="Times New Roman" w:hAnsi="Times New Roman" w:eastAsia="仿宋_GB2312" w:cs="Times New Roman"/>
          <w:b/>
          <w:bCs/>
          <w:sz w:val="32"/>
          <w:szCs w:val="32"/>
        </w:rPr>
        <w:t>计划标准：</w:t>
      </w:r>
      <w:r>
        <w:rPr>
          <w:rFonts w:hint="default" w:ascii="Times New Roman" w:hAnsi="Times New Roman" w:eastAsia="仿宋_GB2312" w:cs="Times New Roman"/>
          <w:sz w:val="32"/>
          <w:szCs w:val="32"/>
        </w:rPr>
        <w:t>指以预先制定的目标、计划、预算、定额等作为评价标准。</w:t>
      </w:r>
      <w:bookmarkEnd w:id="0"/>
      <w:bookmarkEnd w:id="1"/>
    </w:p>
    <w:p>
      <w:pPr>
        <w:pStyle w:val="10"/>
        <w:keepNext w:val="0"/>
        <w:keepLines w:val="0"/>
        <w:pageBreakBefore w:val="0"/>
        <w:numPr>
          <w:ilvl w:val="0"/>
          <w:numId w:val="2"/>
        </w:numPr>
        <w:kinsoku/>
        <w:wordWrap/>
        <w:overflowPunct/>
        <w:topLinePunct w:val="0"/>
        <w:autoSpaceDE/>
        <w:autoSpaceDN/>
        <w:bidi w:val="0"/>
        <w:adjustRightInd/>
        <w:snapToGrid/>
        <w:spacing w:before="0" w:after="0" w:line="560" w:lineRule="exact"/>
        <w:ind w:firstLine="711" w:firstLineChars="200"/>
        <w:jc w:val="both"/>
        <w:textAlignment w:val="auto"/>
        <w:rPr>
          <w:rFonts w:hint="default" w:ascii="Times New Roman" w:hAnsi="Times New Roman" w:eastAsia="楷体" w:cs="Times New Roman"/>
          <w:color w:val="000000"/>
          <w:spacing w:val="17"/>
        </w:rPr>
      </w:pPr>
      <w:r>
        <w:rPr>
          <w:rFonts w:hint="default" w:ascii="Times New Roman" w:hAnsi="Times New Roman" w:eastAsia="楷体" w:cs="Times New Roman"/>
          <w:color w:val="000000"/>
          <w:spacing w:val="17"/>
        </w:rPr>
        <w:t>绩效评价工作过程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rPr>
      </w:pPr>
      <w:r>
        <w:rPr>
          <w:rFonts w:hint="eastAsia" w:eastAsia="仿宋_GB2312" w:cs="Times New Roman"/>
          <w:b/>
          <w:bCs/>
          <w:sz w:val="32"/>
          <w:szCs w:val="32"/>
          <w:lang w:val="en-US" w:eastAsia="zh-CN"/>
        </w:rPr>
        <w:t>1.</w:t>
      </w:r>
      <w:r>
        <w:rPr>
          <w:rFonts w:hint="default" w:ascii="Times New Roman" w:hAnsi="Times New Roman" w:eastAsia="仿宋_GB2312" w:cs="Times New Roman"/>
          <w:b/>
          <w:bCs/>
          <w:sz w:val="32"/>
          <w:szCs w:val="32"/>
        </w:rPr>
        <w:t>前期准备。</w:t>
      </w:r>
      <w:r>
        <w:rPr>
          <w:rFonts w:hint="default" w:ascii="Times New Roman" w:hAnsi="Times New Roman" w:eastAsia="仿宋_GB2312" w:cs="Times New Roman"/>
          <w:sz w:val="32"/>
          <w:szCs w:val="32"/>
        </w:rPr>
        <w:t>首先成立评价工作组，开展前期调研；其次明确项目绩效目标，设计绩效评价指标体系并确定绩效评价方法；接着确定现场和非现场评价范围，设计资料清单；最后制定评价实施方案并进行论证。</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rPr>
        <w:t>组织实施。</w:t>
      </w:r>
      <w:r>
        <w:rPr>
          <w:rFonts w:hint="default" w:ascii="Times New Roman" w:hAnsi="Times New Roman" w:eastAsia="仿宋_GB2312" w:cs="Times New Roman"/>
          <w:sz w:val="32"/>
          <w:szCs w:val="32"/>
        </w:rPr>
        <w:t>制定绩效评价工作方案，具体包括项目概况、评价思路、方法手段、组织实施、进度安排等。收集项目立项依据、相关会议纪要、实施方案、财政资金分配方案、支付管理情况等相关评价资料并进行梳理。</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分析评价。</w:t>
      </w:r>
      <w:r>
        <w:rPr>
          <w:rFonts w:hint="default" w:ascii="Times New Roman" w:hAnsi="Times New Roman" w:eastAsia="仿宋_GB2312" w:cs="Times New Roman"/>
          <w:sz w:val="32"/>
          <w:szCs w:val="32"/>
        </w:rPr>
        <w:t>根据收集梳理的资料围绕项目立项、资金落实、业务管理、财务管理、项目产出、项目效益等内容，对照已确定的绩效评价指标进行详细全面的分析评价，逐项打分并形成绩效评价最终结果。</w:t>
      </w:r>
    </w:p>
    <w:p>
      <w:pPr>
        <w:keepNext w:val="0"/>
        <w:keepLines w:val="0"/>
        <w:pageBreakBefore w:val="0"/>
        <w:numPr>
          <w:ilvl w:val="0"/>
          <w:numId w:val="3"/>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综合评价情况及评价结论（附相关评分表）</w:t>
      </w:r>
    </w:p>
    <w:p>
      <w:pPr>
        <w:pStyle w:val="10"/>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楷体_GB2312" w:cs="Times New Roman"/>
          <w:lang w:val="en-US" w:eastAsia="zh-CN"/>
        </w:rPr>
      </w:pPr>
      <w:r>
        <w:rPr>
          <w:rFonts w:hint="default" w:ascii="Times New Roman" w:hAnsi="Times New Roman" w:eastAsia="楷体_GB2312" w:cs="Times New Roman"/>
          <w:lang w:eastAsia="zh-CN"/>
        </w:rPr>
        <w:t>（</w:t>
      </w:r>
      <w:r>
        <w:rPr>
          <w:rFonts w:hint="default" w:ascii="Times New Roman" w:hAnsi="Times New Roman" w:eastAsia="楷体_GB2312" w:cs="Times New Roman"/>
          <w:lang w:val="en-US" w:eastAsia="zh-CN"/>
        </w:rPr>
        <w:t>一</w:t>
      </w:r>
      <w:r>
        <w:rPr>
          <w:rFonts w:hint="default" w:ascii="Times New Roman" w:hAnsi="Times New Roman" w:eastAsia="楷体_GB2312" w:cs="Times New Roman"/>
          <w:lang w:eastAsia="zh-CN"/>
        </w:rPr>
        <w:t>）</w:t>
      </w:r>
      <w:r>
        <w:rPr>
          <w:rFonts w:hint="default" w:ascii="Times New Roman" w:hAnsi="Times New Roman" w:eastAsia="楷体_GB2312" w:cs="Times New Roman"/>
          <w:lang w:val="en-US" w:eastAsia="zh-CN"/>
        </w:rPr>
        <w:t>评价情况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b w:val="0"/>
          <w:bCs w:val="0"/>
          <w:kern w:val="28"/>
          <w:sz w:val="32"/>
          <w:szCs w:val="32"/>
          <w:lang w:val="en-US" w:eastAsia="zh-CN" w:bidi="ar-SA"/>
        </w:rPr>
      </w:pPr>
      <w:r>
        <w:rPr>
          <w:rFonts w:hint="default" w:ascii="Times New Roman" w:hAnsi="Times New Roman" w:eastAsia="仿宋_GB2312" w:cs="Times New Roman"/>
          <w:b w:val="0"/>
          <w:bCs w:val="0"/>
          <w:kern w:val="28"/>
          <w:sz w:val="32"/>
          <w:szCs w:val="32"/>
          <w:lang w:val="en-US" w:eastAsia="zh-CN" w:bidi="ar-SA"/>
        </w:rPr>
        <w:t>项目总体组织规范，在项目实施过程做到认真履职，监督到位。按照相关制度的要求，项目负责人对项目绩效监控执行情况进行跟踪监督，有效完成了本项目的工作目标，确保资金使用安全和最大效益的发挥，保障项目如期按要求完成。规范项目档案资料的整理。项目的实施达到项目预期效果。</w:t>
      </w:r>
    </w:p>
    <w:p>
      <w:pPr>
        <w:pStyle w:val="10"/>
        <w:keepNext w:val="0"/>
        <w:keepLines w:val="0"/>
        <w:pageBreakBefore w:val="0"/>
        <w:widowControl/>
        <w:kinsoku/>
        <w:wordWrap/>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楷体_GB2312" w:cs="Times New Roman"/>
          <w:lang w:val="en-US" w:eastAsia="zh-CN"/>
        </w:rPr>
      </w:pPr>
      <w:r>
        <w:rPr>
          <w:rFonts w:hint="default" w:ascii="Times New Roman" w:hAnsi="Times New Roman" w:eastAsia="楷体_GB2312" w:cs="Times New Roman"/>
          <w:lang w:eastAsia="zh-CN"/>
        </w:rPr>
        <w:t>（</w:t>
      </w:r>
      <w:r>
        <w:rPr>
          <w:rFonts w:hint="default" w:ascii="Times New Roman" w:hAnsi="Times New Roman" w:eastAsia="楷体_GB2312" w:cs="Times New Roman"/>
          <w:lang w:val="en-US" w:eastAsia="zh-CN"/>
        </w:rPr>
        <w:t>二</w:t>
      </w:r>
      <w:r>
        <w:rPr>
          <w:rFonts w:hint="default" w:ascii="Times New Roman" w:hAnsi="Times New Roman" w:eastAsia="楷体_GB2312" w:cs="Times New Roman"/>
          <w:lang w:eastAsia="zh-CN"/>
        </w:rPr>
        <w:t>）</w:t>
      </w:r>
      <w:r>
        <w:rPr>
          <w:rFonts w:hint="default" w:ascii="Times New Roman" w:hAnsi="Times New Roman" w:eastAsia="楷体_GB2312" w:cs="Times New Roman"/>
          <w:lang w:val="en-US" w:eastAsia="zh-CN"/>
        </w:rPr>
        <w:t>评价结论</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outlineLvl w:val="9"/>
        <w:rPr>
          <w:rFonts w:hint="default" w:ascii="Times New Roman" w:hAnsi="Times New Roman" w:eastAsia="仿宋_GB2312" w:cs="Times New Roman"/>
          <w:b w:val="0"/>
          <w:bCs w:val="0"/>
          <w:lang w:eastAsia="zh-CN"/>
        </w:rPr>
      </w:pPr>
      <w:r>
        <w:rPr>
          <w:rFonts w:hint="default" w:ascii="Times New Roman" w:hAnsi="Times New Roman" w:eastAsia="仿宋_GB2312" w:cs="Times New Roman"/>
          <w:b w:val="0"/>
          <w:bCs w:val="0"/>
        </w:rPr>
        <w:t>运用绩效评价组制定的评价指标体系，通过数据采集、问卷调查及访谈等方式，对本项目进行客观评价，最终评分结果：</w:t>
      </w:r>
      <w:r>
        <w:rPr>
          <w:rFonts w:hint="default" w:ascii="Times New Roman" w:hAnsi="Times New Roman" w:eastAsia="仿宋_GB2312" w:cs="Times New Roman"/>
          <w:b w:val="0"/>
          <w:bCs w:val="0"/>
          <w:highlight w:val="none"/>
        </w:rPr>
        <w:t>总得分为</w:t>
      </w:r>
      <w:r>
        <w:rPr>
          <w:rFonts w:hint="eastAsia" w:ascii="Times New Roman" w:hAnsi="Times New Roman" w:eastAsia="仿宋_GB2312" w:cs="Times New Roman"/>
          <w:b w:val="0"/>
          <w:bCs w:val="0"/>
          <w:highlight w:val="none"/>
          <w:lang w:val="en-US" w:eastAsia="zh-CN"/>
        </w:rPr>
        <w:t>100</w:t>
      </w:r>
      <w:r>
        <w:rPr>
          <w:rFonts w:hint="default" w:ascii="Times New Roman" w:hAnsi="Times New Roman" w:eastAsia="仿宋_GB2312" w:cs="Times New Roman"/>
          <w:b w:val="0"/>
          <w:bCs w:val="0"/>
          <w:highlight w:val="none"/>
        </w:rPr>
        <w:t>分，属于“</w:t>
      </w:r>
      <w:r>
        <w:rPr>
          <w:rFonts w:hint="eastAsia" w:ascii="Times New Roman" w:hAnsi="Times New Roman" w:eastAsia="仿宋_GB2312" w:cs="Times New Roman"/>
          <w:b w:val="0"/>
          <w:bCs w:val="0"/>
          <w:highlight w:val="none"/>
          <w:lang w:val="en-US" w:eastAsia="zh-CN"/>
        </w:rPr>
        <w:t>优</w:t>
      </w:r>
      <w:r>
        <w:rPr>
          <w:rFonts w:hint="default" w:ascii="Times New Roman" w:hAnsi="Times New Roman" w:eastAsia="仿宋_GB2312" w:cs="Times New Roman"/>
          <w:b w:val="0"/>
          <w:bCs w:val="0"/>
          <w:highlight w:val="none"/>
        </w:rPr>
        <w:t>”。其中，项目决策类指标权重为20分，得分为</w:t>
      </w:r>
      <w:r>
        <w:rPr>
          <w:rFonts w:hint="eastAsia" w:ascii="Times New Roman" w:hAnsi="Times New Roman" w:eastAsia="仿宋_GB2312" w:cs="Times New Roman"/>
          <w:b w:val="0"/>
          <w:bCs w:val="0"/>
          <w:highlight w:val="none"/>
          <w:lang w:val="en-US" w:eastAsia="zh-CN"/>
        </w:rPr>
        <w:t>20</w:t>
      </w:r>
      <w:r>
        <w:rPr>
          <w:rFonts w:hint="default" w:ascii="Times New Roman" w:hAnsi="Times New Roman" w:eastAsia="仿宋_GB2312" w:cs="Times New Roman"/>
          <w:b w:val="0"/>
          <w:bCs w:val="0"/>
          <w:highlight w:val="none"/>
        </w:rPr>
        <w:t xml:space="preserve">分，得分率为 </w:t>
      </w:r>
      <w:r>
        <w:rPr>
          <w:rFonts w:hint="eastAsia" w:ascii="Times New Roman" w:hAnsi="Times New Roman" w:eastAsia="仿宋_GB2312" w:cs="Times New Roman"/>
          <w:b w:val="0"/>
          <w:bCs w:val="0"/>
          <w:highlight w:val="none"/>
          <w:lang w:val="en-US" w:eastAsia="zh-CN"/>
        </w:rPr>
        <w:t>100</w:t>
      </w:r>
      <w:r>
        <w:rPr>
          <w:rFonts w:hint="default" w:ascii="Times New Roman" w:hAnsi="Times New Roman" w:eastAsia="仿宋_GB2312" w:cs="Times New Roman"/>
          <w:b w:val="0"/>
          <w:bCs w:val="0"/>
          <w:highlight w:val="none"/>
        </w:rPr>
        <w:t>%。项目过程类指标权重为20分，得分为</w:t>
      </w:r>
      <w:r>
        <w:rPr>
          <w:rFonts w:hint="eastAsia" w:ascii="Times New Roman" w:hAnsi="Times New Roman" w:eastAsia="仿宋_GB2312" w:cs="Times New Roman"/>
          <w:b w:val="0"/>
          <w:bCs w:val="0"/>
          <w:highlight w:val="none"/>
          <w:lang w:val="en-US" w:eastAsia="zh-CN"/>
        </w:rPr>
        <w:t>20</w:t>
      </w:r>
      <w:r>
        <w:rPr>
          <w:rFonts w:hint="default" w:ascii="Times New Roman" w:hAnsi="Times New Roman" w:eastAsia="仿宋_GB2312" w:cs="Times New Roman"/>
          <w:b w:val="0"/>
          <w:bCs w:val="0"/>
          <w:highlight w:val="none"/>
        </w:rPr>
        <w:t>分，得分率为</w:t>
      </w:r>
      <w:r>
        <w:rPr>
          <w:rFonts w:hint="eastAsia" w:ascii="Times New Roman" w:hAnsi="Times New Roman" w:eastAsia="仿宋_GB2312" w:cs="Times New Roman"/>
          <w:b w:val="0"/>
          <w:bCs w:val="0"/>
          <w:highlight w:val="none"/>
          <w:lang w:val="en-US" w:eastAsia="zh-CN"/>
        </w:rPr>
        <w:t>100</w:t>
      </w:r>
      <w:r>
        <w:rPr>
          <w:rFonts w:hint="default" w:ascii="Times New Roman" w:hAnsi="Times New Roman" w:eastAsia="仿宋_GB2312" w:cs="Times New Roman"/>
          <w:b w:val="0"/>
          <w:bCs w:val="0"/>
          <w:highlight w:val="none"/>
        </w:rPr>
        <w:t>%。项目产出类指标权重为</w:t>
      </w:r>
      <w:r>
        <w:rPr>
          <w:rFonts w:hint="eastAsia" w:ascii="Times New Roman" w:hAnsi="Times New Roman" w:eastAsia="仿宋_GB2312" w:cs="Times New Roman"/>
          <w:b w:val="0"/>
          <w:bCs w:val="0"/>
          <w:highlight w:val="none"/>
          <w:lang w:val="en-US" w:eastAsia="zh-CN"/>
        </w:rPr>
        <w:t>3</w:t>
      </w:r>
      <w:r>
        <w:rPr>
          <w:rFonts w:hint="default" w:ascii="Times New Roman" w:hAnsi="Times New Roman" w:eastAsia="仿宋_GB2312" w:cs="Times New Roman"/>
          <w:b w:val="0"/>
          <w:bCs w:val="0"/>
          <w:highlight w:val="none"/>
        </w:rPr>
        <w:t>0分，得分为</w:t>
      </w:r>
      <w:r>
        <w:rPr>
          <w:rFonts w:hint="eastAsia" w:ascii="Times New Roman" w:hAnsi="Times New Roman" w:eastAsia="仿宋_GB2312" w:cs="Times New Roman"/>
          <w:b w:val="0"/>
          <w:bCs w:val="0"/>
          <w:highlight w:val="none"/>
          <w:lang w:val="en-US" w:eastAsia="zh-CN"/>
        </w:rPr>
        <w:t>30</w:t>
      </w:r>
      <w:r>
        <w:rPr>
          <w:rFonts w:hint="default" w:ascii="Times New Roman" w:hAnsi="Times New Roman" w:eastAsia="仿宋_GB2312" w:cs="Times New Roman"/>
          <w:b w:val="0"/>
          <w:bCs w:val="0"/>
          <w:highlight w:val="none"/>
        </w:rPr>
        <w:t>分，得分率为</w:t>
      </w:r>
      <w:r>
        <w:rPr>
          <w:rFonts w:hint="eastAsia" w:ascii="Times New Roman" w:hAnsi="Times New Roman" w:eastAsia="仿宋_GB2312" w:cs="Times New Roman"/>
          <w:b w:val="0"/>
          <w:bCs w:val="0"/>
          <w:highlight w:val="none"/>
          <w:lang w:val="en-US" w:eastAsia="zh-CN"/>
        </w:rPr>
        <w:t>100</w:t>
      </w:r>
      <w:r>
        <w:rPr>
          <w:rFonts w:hint="default" w:ascii="Times New Roman" w:hAnsi="Times New Roman" w:eastAsia="仿宋_GB2312" w:cs="Times New Roman"/>
          <w:b w:val="0"/>
          <w:bCs w:val="0"/>
          <w:highlight w:val="none"/>
        </w:rPr>
        <w:t>%。</w:t>
      </w:r>
      <w:r>
        <w:rPr>
          <w:rFonts w:hint="eastAsia" w:ascii="Times New Roman" w:hAnsi="Times New Roman" w:eastAsia="仿宋_GB2312" w:cs="Times New Roman"/>
          <w:b w:val="0"/>
          <w:bCs w:val="0"/>
          <w:highlight w:val="none"/>
          <w:lang w:eastAsia="zh-CN"/>
        </w:rPr>
        <w:t>项目成本类指标权重为</w:t>
      </w:r>
      <w:r>
        <w:rPr>
          <w:rFonts w:hint="eastAsia" w:ascii="Times New Roman" w:hAnsi="Times New Roman" w:eastAsia="仿宋_GB2312" w:cs="Times New Roman"/>
          <w:b w:val="0"/>
          <w:bCs w:val="0"/>
          <w:highlight w:val="none"/>
          <w:lang w:val="en-US" w:eastAsia="zh-CN"/>
        </w:rPr>
        <w:t>10分，得分为10分，得分率为100%。</w:t>
      </w:r>
      <w:r>
        <w:rPr>
          <w:rFonts w:hint="default" w:ascii="Times New Roman" w:hAnsi="Times New Roman" w:eastAsia="仿宋_GB2312" w:cs="Times New Roman"/>
          <w:b w:val="0"/>
          <w:bCs w:val="0"/>
          <w:highlight w:val="none"/>
        </w:rPr>
        <w:t>项目效益类指标权重为20分，得分为</w:t>
      </w:r>
      <w:r>
        <w:rPr>
          <w:rFonts w:hint="eastAsia" w:ascii="Times New Roman" w:hAnsi="Times New Roman" w:eastAsia="仿宋_GB2312" w:cs="Times New Roman"/>
          <w:b w:val="0"/>
          <w:bCs w:val="0"/>
          <w:highlight w:val="none"/>
          <w:lang w:val="en-US" w:eastAsia="zh-CN"/>
        </w:rPr>
        <w:t>20</w:t>
      </w:r>
      <w:r>
        <w:rPr>
          <w:rFonts w:hint="default" w:ascii="Times New Roman" w:hAnsi="Times New Roman" w:eastAsia="仿宋_GB2312" w:cs="Times New Roman"/>
          <w:b w:val="0"/>
          <w:bCs w:val="0"/>
          <w:highlight w:val="none"/>
        </w:rPr>
        <w:t>分，得分率为</w:t>
      </w:r>
      <w:r>
        <w:rPr>
          <w:rFonts w:hint="eastAsia" w:ascii="Times New Roman" w:hAnsi="Times New Roman" w:eastAsia="仿宋_GB2312" w:cs="Times New Roman"/>
          <w:b w:val="0"/>
          <w:bCs w:val="0"/>
          <w:highlight w:val="none"/>
          <w:lang w:val="en-US" w:eastAsia="zh-CN"/>
        </w:rPr>
        <w:t>100</w:t>
      </w:r>
      <w:r>
        <w:rPr>
          <w:rFonts w:hint="default" w:ascii="Times New Roman" w:hAnsi="Times New Roman" w:eastAsia="仿宋_GB2312" w:cs="Times New Roman"/>
          <w:b w:val="0"/>
          <w:bCs w:val="0"/>
          <w:highlight w:val="none"/>
        </w:rPr>
        <w:t>%。</w:t>
      </w:r>
      <w:r>
        <w:rPr>
          <w:rFonts w:hint="default" w:ascii="Times New Roman" w:hAnsi="Times New Roman" w:eastAsia="仿宋_GB2312" w:cs="Times New Roman"/>
          <w:b w:val="0"/>
          <w:bCs w:val="0"/>
        </w:rPr>
        <w:t>具体打分情况详见：附件1综合评分表</w:t>
      </w:r>
      <w:r>
        <w:rPr>
          <w:rFonts w:hint="default" w:ascii="Times New Roman" w:hAnsi="Times New Roman" w:eastAsia="仿宋_GB2312" w:cs="Times New Roman"/>
          <w:b w:val="0"/>
          <w:bCs w:val="0"/>
          <w:lang w:eastAsia="zh-CN"/>
        </w:rPr>
        <w:t>。</w:t>
      </w:r>
    </w:p>
    <w:p>
      <w:pPr>
        <w:pStyle w:val="10"/>
        <w:keepNext w:val="0"/>
        <w:keepLines w:val="0"/>
        <w:pageBreakBefore w:val="0"/>
        <w:widowControl/>
        <w:kinsoku/>
        <w:wordWrap/>
        <w:overflowPunct/>
        <w:topLinePunct w:val="0"/>
        <w:autoSpaceDE/>
        <w:autoSpaceDN/>
        <w:bidi w:val="0"/>
        <w:adjustRightInd/>
        <w:snapToGrid/>
        <w:spacing w:before="0" w:after="0" w:line="560" w:lineRule="exac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表1综合评分表</w:t>
      </w:r>
    </w:p>
    <w:tbl>
      <w:tblPr>
        <w:tblStyle w:val="14"/>
        <w:tblW w:w="7583" w:type="dxa"/>
        <w:jc w:val="center"/>
        <w:tblInd w:w="0" w:type="dxa"/>
        <w:tblLayout w:type="fixed"/>
        <w:tblCellMar>
          <w:top w:w="0" w:type="dxa"/>
          <w:left w:w="108" w:type="dxa"/>
          <w:bottom w:w="0" w:type="dxa"/>
          <w:right w:w="108" w:type="dxa"/>
        </w:tblCellMar>
      </w:tblPr>
      <w:tblGrid>
        <w:gridCol w:w="3137"/>
        <w:gridCol w:w="2168"/>
        <w:gridCol w:w="2278"/>
      </w:tblGrid>
      <w:tr>
        <w:tblPrEx>
          <w:tblLayout w:type="fixed"/>
          <w:tblCellMar>
            <w:top w:w="0" w:type="dxa"/>
            <w:left w:w="108" w:type="dxa"/>
            <w:bottom w:w="0" w:type="dxa"/>
            <w:right w:w="108" w:type="dxa"/>
          </w:tblCellMar>
        </w:tblPrEx>
        <w:trPr>
          <w:trHeight w:val="90" w:hRule="atLeast"/>
          <w:tblHeader/>
          <w:jc w:val="center"/>
        </w:trPr>
        <w:tc>
          <w:tcPr>
            <w:tcW w:w="3137" w:type="dxa"/>
            <w:tcBorders>
              <w:top w:val="single" w:color="auto" w:sz="4" w:space="0"/>
              <w:left w:val="single" w:color="auto" w:sz="4" w:space="0"/>
              <w:bottom w:val="single" w:color="auto" w:sz="4" w:space="0"/>
              <w:right w:val="single" w:color="auto" w:sz="4" w:space="0"/>
            </w:tcBorders>
            <w:shd w:val="clear" w:color="000000" w:fill="BEBEBE" w:themeFill="background1" w:themeFillShade="BF"/>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2"/>
              </w:rPr>
            </w:pPr>
            <w:r>
              <w:rPr>
                <w:rFonts w:hint="default" w:ascii="Times New Roman" w:hAnsi="Times New Roman" w:cs="Times New Roman"/>
                <w:b/>
                <w:bCs/>
                <w:color w:val="000000"/>
                <w:sz w:val="22"/>
              </w:rPr>
              <w:t>一级指标</w:t>
            </w:r>
          </w:p>
        </w:tc>
        <w:tc>
          <w:tcPr>
            <w:tcW w:w="2168" w:type="dxa"/>
            <w:tcBorders>
              <w:top w:val="single" w:color="auto" w:sz="4" w:space="0"/>
              <w:left w:val="nil"/>
              <w:bottom w:val="single" w:color="auto" w:sz="4" w:space="0"/>
              <w:right w:val="single" w:color="auto" w:sz="4" w:space="0"/>
            </w:tcBorders>
            <w:shd w:val="clear" w:color="000000" w:fill="BEBEBE" w:themeFill="background1" w:themeFillShade="BF"/>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2"/>
              </w:rPr>
            </w:pPr>
            <w:r>
              <w:rPr>
                <w:rFonts w:hint="default" w:ascii="Times New Roman" w:hAnsi="Times New Roman" w:cs="Times New Roman"/>
                <w:b/>
                <w:bCs/>
                <w:color w:val="000000"/>
                <w:sz w:val="22"/>
              </w:rPr>
              <w:t>权重分</w:t>
            </w:r>
          </w:p>
        </w:tc>
        <w:tc>
          <w:tcPr>
            <w:tcW w:w="2278" w:type="dxa"/>
            <w:tcBorders>
              <w:top w:val="single" w:color="auto" w:sz="4" w:space="0"/>
              <w:left w:val="nil"/>
              <w:bottom w:val="single" w:color="auto" w:sz="4" w:space="0"/>
              <w:right w:val="single" w:color="auto" w:sz="4" w:space="0"/>
            </w:tcBorders>
            <w:shd w:val="clear" w:color="000000" w:fill="BEBEBE" w:themeFill="background1" w:themeFillShade="BF"/>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2"/>
              </w:rPr>
            </w:pPr>
            <w:r>
              <w:rPr>
                <w:rFonts w:hint="default" w:ascii="Times New Roman" w:hAnsi="Times New Roman" w:cs="Times New Roman"/>
                <w:b/>
                <w:bCs/>
                <w:color w:val="000000"/>
                <w:sz w:val="22"/>
              </w:rPr>
              <w:t>得分</w:t>
            </w:r>
          </w:p>
        </w:tc>
      </w:tr>
      <w:tr>
        <w:tblPrEx>
          <w:tblLayout w:type="fixed"/>
          <w:tblCellMar>
            <w:top w:w="0" w:type="dxa"/>
            <w:left w:w="108" w:type="dxa"/>
            <w:bottom w:w="0" w:type="dxa"/>
            <w:right w:w="108" w:type="dxa"/>
          </w:tblCellMar>
        </w:tblPrEx>
        <w:trPr>
          <w:trHeight w:val="340" w:hRule="atLeast"/>
          <w:jc w:val="center"/>
        </w:trPr>
        <w:tc>
          <w:tcPr>
            <w:tcW w:w="31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2"/>
              </w:rPr>
            </w:pPr>
            <w:r>
              <w:rPr>
                <w:rFonts w:hint="default" w:ascii="Times New Roman" w:hAnsi="Times New Roman" w:cs="Times New Roman"/>
                <w:color w:val="000000"/>
                <w:sz w:val="22"/>
              </w:rPr>
              <w:t>项目决策</w:t>
            </w:r>
          </w:p>
        </w:tc>
        <w:tc>
          <w:tcPr>
            <w:tcW w:w="216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default" w:ascii="Times New Roman" w:hAnsi="Times New Roman" w:cs="Times New Roman"/>
                <w:color w:val="000000"/>
                <w:sz w:val="22"/>
                <w:lang w:val="en-US" w:eastAsia="zh-CN"/>
              </w:rPr>
              <w:t>20</w:t>
            </w:r>
          </w:p>
        </w:tc>
        <w:tc>
          <w:tcPr>
            <w:tcW w:w="227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eastAsia" w:cs="Times New Roman"/>
                <w:color w:val="000000"/>
                <w:sz w:val="22"/>
                <w:lang w:val="en-US" w:eastAsia="zh-CN"/>
              </w:rPr>
              <w:t>20</w:t>
            </w:r>
          </w:p>
        </w:tc>
      </w:tr>
      <w:tr>
        <w:tblPrEx>
          <w:tblLayout w:type="fixed"/>
          <w:tblCellMar>
            <w:top w:w="0" w:type="dxa"/>
            <w:left w:w="108" w:type="dxa"/>
            <w:bottom w:w="0" w:type="dxa"/>
            <w:right w:w="108" w:type="dxa"/>
          </w:tblCellMar>
        </w:tblPrEx>
        <w:trPr>
          <w:trHeight w:val="340" w:hRule="atLeast"/>
          <w:jc w:val="center"/>
        </w:trPr>
        <w:tc>
          <w:tcPr>
            <w:tcW w:w="31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2"/>
              </w:rPr>
            </w:pPr>
            <w:r>
              <w:rPr>
                <w:rFonts w:hint="default" w:ascii="Times New Roman" w:hAnsi="Times New Roman" w:cs="Times New Roman"/>
                <w:color w:val="000000"/>
                <w:sz w:val="22"/>
              </w:rPr>
              <w:t>项目过程</w:t>
            </w:r>
          </w:p>
        </w:tc>
        <w:tc>
          <w:tcPr>
            <w:tcW w:w="216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default" w:ascii="Times New Roman" w:hAnsi="Times New Roman" w:cs="Times New Roman"/>
                <w:color w:val="000000"/>
                <w:sz w:val="22"/>
                <w:lang w:val="en-US" w:eastAsia="zh-CN"/>
              </w:rPr>
              <w:t>20</w:t>
            </w:r>
          </w:p>
        </w:tc>
        <w:tc>
          <w:tcPr>
            <w:tcW w:w="227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eastAsia" w:cs="Times New Roman"/>
                <w:color w:val="000000"/>
                <w:sz w:val="22"/>
                <w:lang w:val="en-US" w:eastAsia="zh-CN"/>
              </w:rPr>
              <w:t>20</w:t>
            </w:r>
          </w:p>
        </w:tc>
      </w:tr>
      <w:tr>
        <w:tblPrEx>
          <w:tblLayout w:type="fixed"/>
          <w:tblCellMar>
            <w:top w:w="0" w:type="dxa"/>
            <w:left w:w="108" w:type="dxa"/>
            <w:bottom w:w="0" w:type="dxa"/>
            <w:right w:w="108" w:type="dxa"/>
          </w:tblCellMar>
        </w:tblPrEx>
        <w:trPr>
          <w:trHeight w:val="340" w:hRule="atLeast"/>
          <w:jc w:val="center"/>
        </w:trPr>
        <w:tc>
          <w:tcPr>
            <w:tcW w:w="31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2"/>
              </w:rPr>
            </w:pPr>
            <w:r>
              <w:rPr>
                <w:rFonts w:hint="default" w:ascii="Times New Roman" w:hAnsi="Times New Roman" w:cs="Times New Roman"/>
                <w:color w:val="000000"/>
                <w:sz w:val="22"/>
              </w:rPr>
              <w:t>项目产出</w:t>
            </w:r>
          </w:p>
        </w:tc>
        <w:tc>
          <w:tcPr>
            <w:tcW w:w="216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eastAsia" w:cs="Times New Roman"/>
                <w:color w:val="000000"/>
                <w:sz w:val="22"/>
                <w:lang w:val="en-US" w:eastAsia="zh-CN"/>
              </w:rPr>
              <w:t>30</w:t>
            </w:r>
          </w:p>
        </w:tc>
        <w:tc>
          <w:tcPr>
            <w:tcW w:w="227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eastAsia" w:cs="Times New Roman"/>
                <w:color w:val="000000"/>
                <w:sz w:val="22"/>
                <w:lang w:val="en-US" w:eastAsia="zh-CN"/>
              </w:rPr>
              <w:t>30</w:t>
            </w:r>
          </w:p>
        </w:tc>
      </w:tr>
      <w:tr>
        <w:tblPrEx>
          <w:tblLayout w:type="fixed"/>
          <w:tblCellMar>
            <w:top w:w="0" w:type="dxa"/>
            <w:left w:w="108" w:type="dxa"/>
            <w:bottom w:w="0" w:type="dxa"/>
            <w:right w:w="108" w:type="dxa"/>
          </w:tblCellMar>
        </w:tblPrEx>
        <w:trPr>
          <w:trHeight w:val="340" w:hRule="atLeast"/>
          <w:jc w:val="center"/>
        </w:trPr>
        <w:tc>
          <w:tcPr>
            <w:tcW w:w="31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2"/>
              </w:rPr>
            </w:pPr>
            <w:r>
              <w:rPr>
                <w:rFonts w:hint="default" w:ascii="Times New Roman" w:hAnsi="Times New Roman" w:cs="Times New Roman"/>
                <w:color w:val="000000"/>
                <w:sz w:val="22"/>
              </w:rPr>
              <w:t>项目效益</w:t>
            </w:r>
          </w:p>
        </w:tc>
        <w:tc>
          <w:tcPr>
            <w:tcW w:w="216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default" w:ascii="Times New Roman" w:hAnsi="Times New Roman" w:cs="Times New Roman"/>
                <w:color w:val="000000"/>
                <w:sz w:val="22"/>
                <w:lang w:val="en-US" w:eastAsia="zh-CN"/>
              </w:rPr>
              <w:t>20</w:t>
            </w:r>
          </w:p>
        </w:tc>
        <w:tc>
          <w:tcPr>
            <w:tcW w:w="227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22"/>
                <w:lang w:val="en-US" w:eastAsia="zh-CN"/>
              </w:rPr>
            </w:pPr>
            <w:r>
              <w:rPr>
                <w:rFonts w:hint="eastAsia" w:cs="Times New Roman"/>
                <w:color w:val="000000"/>
                <w:sz w:val="22"/>
                <w:lang w:val="en-US" w:eastAsia="zh-CN"/>
              </w:rPr>
              <w:t>20</w:t>
            </w:r>
          </w:p>
        </w:tc>
      </w:tr>
      <w:tr>
        <w:tblPrEx>
          <w:tblLayout w:type="fixed"/>
          <w:tblCellMar>
            <w:top w:w="0" w:type="dxa"/>
            <w:left w:w="108" w:type="dxa"/>
            <w:bottom w:w="0" w:type="dxa"/>
            <w:right w:w="108" w:type="dxa"/>
          </w:tblCellMar>
        </w:tblPrEx>
        <w:trPr>
          <w:trHeight w:val="340" w:hRule="atLeast"/>
          <w:jc w:val="center"/>
        </w:trPr>
        <w:tc>
          <w:tcPr>
            <w:tcW w:w="31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000000"/>
                <w:sz w:val="22"/>
                <w:lang w:eastAsia="zh-CN"/>
              </w:rPr>
            </w:pPr>
            <w:r>
              <w:rPr>
                <w:rFonts w:hint="eastAsia" w:cs="Times New Roman"/>
                <w:color w:val="000000"/>
                <w:sz w:val="22"/>
                <w:lang w:eastAsia="zh-CN"/>
              </w:rPr>
              <w:t>项目成本</w:t>
            </w:r>
          </w:p>
        </w:tc>
        <w:tc>
          <w:tcPr>
            <w:tcW w:w="216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22"/>
                <w:lang w:val="en-US" w:eastAsia="zh-CN"/>
              </w:rPr>
            </w:pPr>
            <w:r>
              <w:rPr>
                <w:rFonts w:hint="eastAsia" w:cs="Times New Roman"/>
                <w:color w:val="000000"/>
                <w:sz w:val="22"/>
                <w:lang w:val="en-US" w:eastAsia="zh-CN"/>
              </w:rPr>
              <w:t>10</w:t>
            </w:r>
          </w:p>
        </w:tc>
        <w:tc>
          <w:tcPr>
            <w:tcW w:w="227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cs="Times New Roman"/>
                <w:color w:val="000000"/>
                <w:sz w:val="22"/>
                <w:lang w:val="en-US" w:eastAsia="zh-CN"/>
              </w:rPr>
            </w:pPr>
            <w:r>
              <w:rPr>
                <w:rFonts w:hint="eastAsia" w:cs="Times New Roman"/>
                <w:color w:val="000000"/>
                <w:sz w:val="22"/>
                <w:lang w:val="en-US" w:eastAsia="zh-CN"/>
              </w:rPr>
              <w:t>10</w:t>
            </w:r>
          </w:p>
        </w:tc>
      </w:tr>
      <w:tr>
        <w:tblPrEx>
          <w:tblLayout w:type="fixed"/>
          <w:tblCellMar>
            <w:top w:w="0" w:type="dxa"/>
            <w:left w:w="108" w:type="dxa"/>
            <w:bottom w:w="0" w:type="dxa"/>
            <w:right w:w="108" w:type="dxa"/>
          </w:tblCellMar>
        </w:tblPrEx>
        <w:trPr>
          <w:trHeight w:val="340" w:hRule="atLeast"/>
          <w:jc w:val="center"/>
        </w:trPr>
        <w:tc>
          <w:tcPr>
            <w:tcW w:w="3137"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000000"/>
                <w:sz w:val="22"/>
              </w:rPr>
            </w:pPr>
            <w:r>
              <w:rPr>
                <w:rFonts w:hint="default" w:ascii="Times New Roman" w:hAnsi="Times New Roman" w:cs="Times New Roman"/>
                <w:b/>
                <w:bCs/>
                <w:color w:val="000000"/>
                <w:sz w:val="22"/>
              </w:rPr>
              <w:t>合计</w:t>
            </w:r>
          </w:p>
        </w:tc>
        <w:tc>
          <w:tcPr>
            <w:tcW w:w="216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2"/>
                <w:lang w:val="en-US" w:eastAsia="zh-CN"/>
              </w:rPr>
            </w:pPr>
            <w:r>
              <w:rPr>
                <w:rFonts w:hint="default" w:ascii="Times New Roman" w:hAnsi="Times New Roman" w:cs="Times New Roman"/>
                <w:b/>
                <w:bCs/>
                <w:color w:val="000000"/>
                <w:sz w:val="22"/>
                <w:lang w:val="en-US" w:eastAsia="zh-CN"/>
              </w:rPr>
              <w:t>100</w:t>
            </w:r>
          </w:p>
        </w:tc>
        <w:tc>
          <w:tcPr>
            <w:tcW w:w="2278" w:type="dxa"/>
            <w:tcBorders>
              <w:top w:val="nil"/>
              <w:left w:val="nil"/>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00"/>
                <w:sz w:val="22"/>
                <w:lang w:val="en-US" w:eastAsia="zh-CN"/>
              </w:rPr>
            </w:pPr>
            <w:r>
              <w:rPr>
                <w:rFonts w:hint="eastAsia" w:cs="Times New Roman"/>
                <w:b/>
                <w:bCs/>
                <w:color w:val="000000"/>
                <w:sz w:val="22"/>
                <w:lang w:val="en-US" w:eastAsia="zh-CN"/>
              </w:rPr>
              <w:t>100</w:t>
            </w:r>
          </w:p>
        </w:tc>
      </w:tr>
    </w:tbl>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四、绩效评价指标分析</w:t>
      </w:r>
    </w:p>
    <w:p>
      <w:pPr>
        <w:pStyle w:val="10"/>
        <w:keepNext w:val="0"/>
        <w:keepLines w:val="0"/>
        <w:pageBreakBefore w:val="0"/>
        <w:kinsoku/>
        <w:wordWrap/>
        <w:overflowPunct/>
        <w:topLinePunct w:val="0"/>
        <w:autoSpaceDE/>
        <w:autoSpaceDN/>
        <w:bidi w:val="0"/>
        <w:adjustRightInd/>
        <w:snapToGrid/>
        <w:spacing w:before="0" w:after="0" w:line="560" w:lineRule="exact"/>
        <w:ind w:firstLine="643" w:firstLineChars="200"/>
        <w:jc w:val="both"/>
        <w:textAlignment w:val="auto"/>
        <w:rPr>
          <w:rFonts w:hint="eastAsia" w:ascii="楷体" w:hAnsi="楷体" w:eastAsia="楷体" w:cs="楷体"/>
        </w:rPr>
      </w:pPr>
      <w:r>
        <w:rPr>
          <w:rFonts w:hint="eastAsia" w:ascii="楷体" w:hAnsi="楷体" w:eastAsia="楷体" w:cs="楷体"/>
        </w:rPr>
        <w:t>（一）项目决策情况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项目决策类指标包括项目立项、绩效目标和资金投入三方面的内容，由6个三级指标构成，权重分值为20分，实际得分</w:t>
      </w:r>
      <w:r>
        <w:rPr>
          <w:rFonts w:hint="eastAsia"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lang w:val="en-US" w:eastAsia="zh-CN"/>
        </w:rPr>
        <w:t>分，得分率为</w:t>
      </w:r>
      <w:r>
        <w:rPr>
          <w:rFonts w:hint="eastAsia" w:eastAsia="仿宋_GB2312" w:cs="Times New Roman"/>
          <w:sz w:val="32"/>
          <w:szCs w:val="32"/>
          <w:highlight w:val="none"/>
          <w:lang w:val="en-US" w:eastAsia="zh-CN"/>
        </w:rPr>
        <w:t>100</w:t>
      </w:r>
      <w:r>
        <w:rPr>
          <w:rFonts w:hint="default" w:ascii="Times New Roman" w:hAnsi="Times New Roman" w:eastAsia="仿宋_GB2312" w:cs="Times New Roman"/>
          <w:sz w:val="32"/>
          <w:szCs w:val="32"/>
          <w:highlight w:val="none"/>
          <w:lang w:val="en-US" w:eastAsia="zh-CN"/>
        </w:rPr>
        <w:t>%。</w:t>
      </w:r>
    </w:p>
    <w:p>
      <w:pPr>
        <w:pStyle w:val="19"/>
        <w:keepNext w:val="0"/>
        <w:keepLines w:val="0"/>
        <w:pageBreakBefore w:val="0"/>
        <w:widowControl w:val="0"/>
        <w:shd w:val="clea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1.项目立项</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（1）立项依据充分性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lang w:val="en-US" w:eastAsia="zh-CN"/>
        </w:rPr>
        <w:t>该项目立项符合国家相关法律法规及发展政策，符合行业规划要求，围绕本年度工作重点和工作计划制定经费预算，属于公共财政支持范围。本项目与部门内部其他相关项目不重复。部门发展规划及职能文件等归档完整。</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（2）立项程序规范性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项目申请、设立过程符合相关要求，</w:t>
      </w:r>
      <w:r>
        <w:rPr>
          <w:rFonts w:hint="default" w:ascii="Times New Roman" w:hAnsi="Times New Roman" w:eastAsia="仿宋_GB2312" w:cs="Times New Roman"/>
          <w:sz w:val="32"/>
          <w:szCs w:val="32"/>
          <w:lang w:eastAsia="zh-Hans"/>
        </w:rPr>
        <w:t>严格按照审批流程准备符合要求的文件、材料；</w:t>
      </w:r>
      <w:r>
        <w:rPr>
          <w:rFonts w:hint="default" w:ascii="Times New Roman" w:hAnsi="Times New Roman" w:eastAsia="仿宋_GB2312" w:cs="Times New Roman"/>
          <w:sz w:val="32"/>
          <w:szCs w:val="32"/>
          <w:lang w:val="en-US" w:eastAsia="zh-CN"/>
        </w:rPr>
        <w:t>根据决算依据编制工作计划和经费预算，经过与部门项目分管领导沟通、筛选确定经费预算计划，确定最终预算方案。项目的审批文件、材料符合相关要求，项目事前经过必要的绩效评估、集体决策，保障了程序的规范性。</w:t>
      </w:r>
    </w:p>
    <w:p>
      <w:pPr>
        <w:pStyle w:val="19"/>
        <w:keepNext w:val="0"/>
        <w:keepLines w:val="0"/>
        <w:pageBreakBefore w:val="0"/>
        <w:widowControl w:val="0"/>
        <w:shd w:val="clea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2.绩效目标</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（1）绩效目标合理性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Hans"/>
        </w:rPr>
        <w:t>年初结合实际工作内容</w:t>
      </w:r>
      <w:r>
        <w:rPr>
          <w:rFonts w:hint="default" w:ascii="Times New Roman" w:hAnsi="Times New Roman" w:eastAsia="仿宋_GB2312" w:cs="Times New Roman"/>
          <w:sz w:val="32"/>
          <w:szCs w:val="32"/>
          <w:lang w:val="en-US" w:eastAsia="zh-CN"/>
        </w:rPr>
        <w:t>设定绩效目标</w:t>
      </w:r>
      <w:r>
        <w:rPr>
          <w:rFonts w:hint="default" w:ascii="Times New Roman" w:hAnsi="Times New Roman" w:eastAsia="仿宋_GB2312" w:cs="Times New Roman"/>
          <w:sz w:val="32"/>
          <w:szCs w:val="32"/>
          <w:lang w:val="en-US" w:eastAsia="zh-Hans"/>
        </w:rPr>
        <w:t>，绩效目标</w:t>
      </w:r>
      <w:r>
        <w:rPr>
          <w:rFonts w:hint="default" w:ascii="Times New Roman" w:hAnsi="Times New Roman" w:eastAsia="仿宋_GB2312" w:cs="Times New Roman"/>
          <w:sz w:val="32"/>
          <w:szCs w:val="32"/>
          <w:lang w:val="en-US" w:eastAsia="zh-CN"/>
        </w:rPr>
        <w:t>依据充分，符合客观实际，能反映和考核项目绩效目标与项目实施的相符情况，依据绩效目标设定的绩效指标清晰、细化、可衡量，能反映和考核项目绩效目标的明细化情况。绩效目标表经过审核，绩效目标与实际工作内容具有相关性，预算与确定的项目投资额相匹配，对项目任务进行了详细分解。项目预期产出效益及效果符合正常的业绩水平。</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（2）绩效指标明确性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项目设置了明确的预期产出效益和效果，将绩效目标细化分解为具体的绩效指标，绩效目标与项目目标任务数相对应，绩效目标设定的绩效指标清晰、细化、可衡量。</w:t>
      </w:r>
    </w:p>
    <w:p>
      <w:pPr>
        <w:pStyle w:val="19"/>
        <w:keepNext w:val="0"/>
        <w:keepLines w:val="0"/>
        <w:pageBreakBefore w:val="0"/>
        <w:widowControl w:val="0"/>
        <w:shd w:val="clea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3.资金投入</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（1）预算编制科学性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预算编制经过科学论证，提供充分的测算依据佐证资料，预算内容与项目内容相匹配。项目投资额与工作任务相匹配。</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（2）资金分配合理性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资金分配额度与项目单位实际工作内容相适应，资金分配额度合理，资金分配依据充分。</w:t>
      </w:r>
    </w:p>
    <w:p>
      <w:pPr>
        <w:pStyle w:val="10"/>
        <w:keepNext w:val="0"/>
        <w:keepLines w:val="0"/>
        <w:pageBreakBefore w:val="0"/>
        <w:numPr>
          <w:ilvl w:val="0"/>
          <w:numId w:val="4"/>
        </w:numPr>
        <w:kinsoku/>
        <w:wordWrap/>
        <w:overflowPunct/>
        <w:topLinePunct w:val="0"/>
        <w:autoSpaceDE/>
        <w:autoSpaceDN/>
        <w:bidi w:val="0"/>
        <w:adjustRightInd/>
        <w:snapToGrid/>
        <w:spacing w:before="0" w:after="0" w:line="560" w:lineRule="exact"/>
        <w:ind w:firstLine="643" w:firstLineChars="200"/>
        <w:jc w:val="both"/>
        <w:textAlignment w:val="auto"/>
        <w:rPr>
          <w:rFonts w:hint="default" w:ascii="Times New Roman" w:hAnsi="Times New Roman" w:eastAsia="楷体" w:cs="Times New Roman"/>
        </w:rPr>
      </w:pPr>
      <w:r>
        <w:rPr>
          <w:rFonts w:hint="default" w:ascii="Times New Roman" w:hAnsi="Times New Roman" w:eastAsia="楷体" w:cs="Times New Roman"/>
        </w:rPr>
        <w:t>项目过程情况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val="en-US" w:eastAsia="zh-CN"/>
        </w:rPr>
        <w:t>项目过程类指标包括资金管理</w:t>
      </w:r>
      <w:r>
        <w:rPr>
          <w:rFonts w:hint="default" w:ascii="Times New Roman" w:hAnsi="Times New Roman" w:eastAsia="仿宋_GB2312" w:cs="Times New Roman"/>
          <w:sz w:val="32"/>
          <w:szCs w:val="32"/>
          <w:highlight w:val="none"/>
          <w:lang w:val="en-US" w:eastAsia="zh-CN"/>
        </w:rPr>
        <w:t>和组织实施两方面的内容，有</w:t>
      </w:r>
      <w:r>
        <w:rPr>
          <w:rFonts w:hint="eastAsia"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lang w:val="en-US" w:eastAsia="zh-CN"/>
        </w:rPr>
        <w:t>个三级指标构成，权重分值为20分，实际得分</w:t>
      </w:r>
      <w:r>
        <w:rPr>
          <w:rFonts w:hint="eastAsia"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lang w:val="en-US" w:eastAsia="zh-CN"/>
        </w:rPr>
        <w:t>分，得分率为</w:t>
      </w:r>
      <w:r>
        <w:rPr>
          <w:rFonts w:hint="eastAsia" w:eastAsia="仿宋_GB2312" w:cs="Times New Roman"/>
          <w:sz w:val="32"/>
          <w:szCs w:val="32"/>
          <w:highlight w:val="none"/>
          <w:lang w:val="en-US" w:eastAsia="zh-CN"/>
        </w:rPr>
        <w:t>100</w:t>
      </w:r>
      <w:r>
        <w:rPr>
          <w:rFonts w:hint="default" w:ascii="Times New Roman" w:hAnsi="Times New Roman" w:eastAsia="仿宋_GB2312" w:cs="Times New Roman"/>
          <w:sz w:val="32"/>
          <w:szCs w:val="32"/>
          <w:highlight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项目资金使用符合相关的财务管理制度规定，能够反映和考核项目资金的规范运行情况；项目实施单位的财务和业务管理制度健全，能够反映和考核财务和业务管理制度对项目顺利实施的保障情况。</w:t>
      </w:r>
    </w:p>
    <w:p>
      <w:pPr>
        <w:pStyle w:val="19"/>
        <w:keepNext w:val="0"/>
        <w:keepLines w:val="0"/>
        <w:pageBreakBefore w:val="0"/>
        <w:widowControl w:val="0"/>
        <w:shd w:val="clea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1.资金管理</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（1）资金到位率</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本项</w:t>
      </w:r>
      <w:r>
        <w:rPr>
          <w:rFonts w:hint="default" w:ascii="Times New Roman" w:hAnsi="Times New Roman" w:eastAsia="仿宋_GB2312" w:cs="Times New Roman"/>
          <w:sz w:val="32"/>
          <w:szCs w:val="32"/>
          <w:highlight w:val="none"/>
          <w:lang w:val="en-US" w:eastAsia="zh-CN"/>
        </w:rPr>
        <w:t>目总投资</w:t>
      </w:r>
      <w:r>
        <w:rPr>
          <w:rFonts w:hint="eastAsia" w:eastAsia="仿宋_GB2312" w:cs="Times New Roman"/>
          <w:b w:val="0"/>
          <w:bCs w:val="0"/>
          <w:kern w:val="2"/>
          <w:sz w:val="32"/>
          <w:szCs w:val="32"/>
          <w:lang w:val="en-US" w:eastAsia="zh-CN" w:bidi="ar-SA"/>
        </w:rPr>
        <w:t>14</w:t>
      </w:r>
      <w:r>
        <w:rPr>
          <w:rFonts w:hint="default" w:ascii="Times New Roman" w:hAnsi="Times New Roman" w:eastAsia="仿宋_GB2312" w:cs="Times New Roman"/>
          <w:sz w:val="32"/>
          <w:szCs w:val="32"/>
          <w:highlight w:val="none"/>
          <w:lang w:val="en-US" w:eastAsia="zh-CN"/>
        </w:rPr>
        <w:t>万元，财政资金及时足额到位，到位率</w:t>
      </w:r>
      <w:r>
        <w:rPr>
          <w:rFonts w:hint="eastAsia" w:eastAsia="仿宋_GB2312" w:cs="Times New Roman"/>
          <w:sz w:val="32"/>
          <w:szCs w:val="32"/>
          <w:highlight w:val="none"/>
          <w:lang w:val="en-US" w:eastAsia="zh-CN"/>
        </w:rPr>
        <w:t>100</w:t>
      </w:r>
      <w:r>
        <w:rPr>
          <w:rFonts w:hint="default" w:ascii="Times New Roman" w:hAnsi="Times New Roman" w:eastAsia="仿宋_GB2312" w:cs="Times New Roman"/>
          <w:sz w:val="32"/>
          <w:szCs w:val="32"/>
          <w:highlight w:val="none"/>
          <w:lang w:val="en-US" w:eastAsia="zh-CN"/>
        </w:rPr>
        <w:t>%，预算资金按</w:t>
      </w:r>
      <w:r>
        <w:rPr>
          <w:rFonts w:hint="default" w:ascii="Times New Roman" w:hAnsi="Times New Roman" w:eastAsia="仿宋_GB2312" w:cs="Times New Roman"/>
          <w:sz w:val="32"/>
          <w:szCs w:val="32"/>
          <w:lang w:val="en-US" w:eastAsia="zh-CN"/>
        </w:rPr>
        <w:t>计划进度执行。</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（2）预算执行率</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lang w:val="en-US" w:eastAsia="zh-CN"/>
        </w:rPr>
        <w:t>预算编制较为详细，项目资金支出总体能够按照预算执行，</w:t>
      </w:r>
      <w:r>
        <w:rPr>
          <w:rFonts w:hint="default" w:ascii="Times New Roman" w:hAnsi="Times New Roman" w:eastAsia="仿宋_GB2312" w:cs="Times New Roman"/>
          <w:sz w:val="32"/>
          <w:szCs w:val="32"/>
          <w:highlight w:val="none"/>
          <w:lang w:val="en-US" w:eastAsia="zh-CN"/>
        </w:rPr>
        <w:t>预算资金支出</w:t>
      </w:r>
      <w:r>
        <w:rPr>
          <w:rFonts w:hint="eastAsia" w:eastAsia="仿宋_GB2312" w:cs="Times New Roman"/>
          <w:b w:val="0"/>
          <w:bCs w:val="0"/>
          <w:kern w:val="2"/>
          <w:sz w:val="32"/>
          <w:szCs w:val="32"/>
          <w:highlight w:val="none"/>
          <w:lang w:val="en-US" w:eastAsia="zh-CN" w:bidi="ar-SA"/>
        </w:rPr>
        <w:t>14</w:t>
      </w:r>
      <w:r>
        <w:rPr>
          <w:rFonts w:hint="default" w:ascii="Times New Roman" w:hAnsi="Times New Roman" w:eastAsia="仿宋_GB2312" w:cs="Times New Roman"/>
          <w:sz w:val="32"/>
          <w:szCs w:val="32"/>
          <w:highlight w:val="none"/>
          <w:lang w:val="en-US" w:eastAsia="zh-CN"/>
        </w:rPr>
        <w:t>万元，预算执行率为</w:t>
      </w:r>
      <w:r>
        <w:rPr>
          <w:rFonts w:hint="eastAsia" w:eastAsia="仿宋_GB2312" w:cs="Times New Roman"/>
          <w:sz w:val="32"/>
          <w:szCs w:val="32"/>
          <w:highlight w:val="none"/>
          <w:lang w:val="en-US" w:eastAsia="zh-CN"/>
        </w:rPr>
        <w:t>100</w:t>
      </w:r>
      <w:r>
        <w:rPr>
          <w:rFonts w:hint="default" w:ascii="Times New Roman" w:hAnsi="Times New Roman" w:eastAsia="仿宋_GB2312" w:cs="Times New Roman"/>
          <w:sz w:val="32"/>
          <w:szCs w:val="32"/>
          <w:highlight w:val="none"/>
          <w:lang w:val="en-US"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（3）资金使用合规性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严格按照</w:t>
      </w:r>
      <w:r>
        <w:rPr>
          <w:rFonts w:hint="eastAsia" w:eastAsia="仿宋_GB2312" w:cs="Times New Roman"/>
          <w:b w:val="0"/>
          <w:bCs w:val="0"/>
          <w:kern w:val="2"/>
          <w:sz w:val="32"/>
          <w:szCs w:val="32"/>
          <w:lang w:val="en-US" w:eastAsia="zh-CN" w:bidi="ar-SA"/>
        </w:rPr>
        <w:t>财务制度</w:t>
      </w:r>
      <w:r>
        <w:rPr>
          <w:rFonts w:hint="default" w:ascii="Times New Roman" w:hAnsi="Times New Roman" w:eastAsia="仿宋_GB2312" w:cs="Times New Roman"/>
          <w:b w:val="0"/>
          <w:bCs w:val="0"/>
          <w:kern w:val="2"/>
          <w:sz w:val="32"/>
          <w:szCs w:val="32"/>
          <w:lang w:val="en-US" w:eastAsia="zh-CN" w:bidi="ar-SA"/>
        </w:rPr>
        <w:t>支出项目资金</w:t>
      </w:r>
      <w:r>
        <w:rPr>
          <w:rFonts w:hint="default" w:ascii="Times New Roman" w:hAnsi="Times New Roman" w:eastAsia="仿宋_GB2312" w:cs="Times New Roman"/>
          <w:sz w:val="32"/>
          <w:szCs w:val="32"/>
          <w:lang w:val="en-US" w:eastAsia="zh-CN"/>
        </w:rPr>
        <w:t>，对项目经费使用进行规范管理，财务制度健全、执行严格。资金的拨付有完整的审批程序和手续，在项目资金拨付和使用过程中，为确保项目资金的安全性，提高项目资金使用效率，严格遵循项目资金的拨付程序，认真审核项目实施各阶段的相关材料和手续，根据项目实施进展情况拨付资金。资金使用符合该项目的立项批复。资金不存在截留、挤占、挪用、虚列支出等情况。</w:t>
      </w:r>
    </w:p>
    <w:p>
      <w:pPr>
        <w:pStyle w:val="19"/>
        <w:keepNext w:val="0"/>
        <w:keepLines w:val="0"/>
        <w:pageBreakBefore w:val="0"/>
        <w:widowControl w:val="0"/>
        <w:shd w:val="clear"/>
        <w:kinsoku/>
        <w:wordWrap/>
        <w:overflowPunct/>
        <w:topLinePunct w:val="0"/>
        <w:autoSpaceDE/>
        <w:autoSpaceDN/>
        <w:bidi w:val="0"/>
        <w:adjustRightInd/>
        <w:snapToGrid/>
        <w:spacing w:line="560" w:lineRule="exact"/>
        <w:ind w:left="0" w:leftChars="0" w:firstLine="643" w:firstLineChars="200"/>
        <w:jc w:val="both"/>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2.组织实施</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（1）管理制度健全性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制定了相关管理办法，对财政资金进行严格管理，做到专款专用，项目资金使用符合相关的财务管理制度规定，能够反映和考核项目资金的规范运行情况；项目实施单位的财务和业务管理制度健全，能够反映和考核财务和业务管理制度对项目顺利实施的保障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（2）制度执行有效性</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对资金使用的合法合规性进行监督，年末对资金使用效果进行评价。项目管理、实施人员落实到位，有效按照计划执行。项目执行情况等资料齐全，项目相关手续完备，及时进行归档。</w:t>
      </w:r>
    </w:p>
    <w:p>
      <w:pPr>
        <w:pStyle w:val="12"/>
        <w:keepNext w:val="0"/>
        <w:keepLines w:val="0"/>
        <w:pageBreakBefore w:val="0"/>
        <w:numPr>
          <w:ilvl w:val="0"/>
          <w:numId w:val="4"/>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项目产出</w:t>
      </w:r>
      <w:r>
        <w:rPr>
          <w:rFonts w:hint="eastAsia" w:ascii="楷体" w:hAnsi="楷体" w:eastAsia="楷体" w:cs="楷体"/>
          <w:b/>
          <w:bCs/>
          <w:sz w:val="32"/>
          <w:szCs w:val="32"/>
          <w:lang w:val="en-US" w:eastAsia="zh-CN"/>
        </w:rPr>
        <w:t>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项目产出类指标包括产出数量、产出质量、产出时效</w:t>
      </w:r>
      <w:r>
        <w:rPr>
          <w:rFonts w:hint="eastAsia" w:eastAsia="仿宋_GB2312" w:cs="Times New Roman"/>
          <w:sz w:val="32"/>
          <w:szCs w:val="32"/>
          <w:lang w:val="en-US" w:eastAsia="zh-CN"/>
        </w:rPr>
        <w:t>三</w:t>
      </w:r>
      <w:r>
        <w:rPr>
          <w:rFonts w:hint="default" w:ascii="Times New Roman" w:hAnsi="Times New Roman" w:eastAsia="仿宋_GB2312" w:cs="Times New Roman"/>
          <w:sz w:val="32"/>
          <w:szCs w:val="32"/>
          <w:lang w:val="en-US" w:eastAsia="zh-CN"/>
        </w:rPr>
        <w:t>方面的内容，</w:t>
      </w:r>
      <w:r>
        <w:rPr>
          <w:rFonts w:hint="default" w:ascii="Times New Roman" w:hAnsi="Times New Roman" w:eastAsia="仿宋_GB2312" w:cs="Times New Roman"/>
          <w:sz w:val="32"/>
          <w:szCs w:val="32"/>
          <w:highlight w:val="none"/>
          <w:lang w:val="en-US" w:eastAsia="zh-CN"/>
        </w:rPr>
        <w:t>由</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lang w:val="en-US" w:eastAsia="zh-CN"/>
        </w:rPr>
        <w:t>个三级指标构成，权重分为</w:t>
      </w:r>
      <w:r>
        <w:rPr>
          <w:rFonts w:hint="eastAsia"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lang w:val="en-US" w:eastAsia="zh-CN"/>
        </w:rPr>
        <w:t>分，实际得分</w:t>
      </w:r>
      <w:r>
        <w:rPr>
          <w:rFonts w:hint="eastAsia"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lang w:val="en-US" w:eastAsia="zh-CN"/>
        </w:rPr>
        <w:t>分，得分率为</w:t>
      </w:r>
      <w:r>
        <w:rPr>
          <w:rFonts w:hint="eastAsia" w:eastAsia="仿宋_GB2312" w:cs="Times New Roman"/>
          <w:sz w:val="32"/>
          <w:szCs w:val="32"/>
          <w:highlight w:val="none"/>
          <w:lang w:val="en-US" w:eastAsia="zh-CN"/>
        </w:rPr>
        <w:t>100</w:t>
      </w:r>
      <w:r>
        <w:rPr>
          <w:rFonts w:hint="default" w:ascii="Times New Roman" w:hAnsi="Times New Roman" w:eastAsia="仿宋_GB2312" w:cs="Times New Roman"/>
          <w:sz w:val="32"/>
          <w:szCs w:val="32"/>
          <w:highlight w:val="none"/>
          <w:lang w:val="en-US" w:eastAsia="zh-CN"/>
        </w:rPr>
        <w:t>%。具体</w:t>
      </w:r>
      <w:r>
        <w:rPr>
          <w:rFonts w:hint="default" w:ascii="Times New Roman" w:hAnsi="Times New Roman" w:eastAsia="仿宋_GB2312" w:cs="Times New Roman"/>
          <w:sz w:val="32"/>
          <w:szCs w:val="32"/>
          <w:lang w:val="en-US" w:eastAsia="zh-CN"/>
        </w:rPr>
        <w:t>产出指标完成情况如下：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color w:val="FF0000"/>
          <w:sz w:val="32"/>
          <w:szCs w:val="32"/>
          <w:highlight w:val="none"/>
          <w:lang w:val="en-US" w:eastAsia="zh-CN"/>
        </w:rPr>
      </w:pPr>
      <w:r>
        <w:rPr>
          <w:rFonts w:hint="default" w:ascii="Times New Roman" w:hAnsi="Times New Roman" w:eastAsia="仿宋_GB2312" w:cs="Times New Roman"/>
          <w:sz w:val="32"/>
          <w:szCs w:val="32"/>
          <w:highlight w:val="none"/>
        </w:rPr>
        <w:fldChar w:fldCharType="begin"/>
      </w:r>
      <w:r>
        <w:rPr>
          <w:rFonts w:hint="default" w:ascii="Times New Roman" w:hAnsi="Times New Roman" w:eastAsia="仿宋_GB2312" w:cs="Times New Roman"/>
          <w:sz w:val="32"/>
          <w:szCs w:val="32"/>
          <w:highlight w:val="none"/>
        </w:rPr>
        <w:instrText xml:space="preserve"> = 1 \* GB3 </w:instrText>
      </w:r>
      <w:r>
        <w:rPr>
          <w:rFonts w:hint="default" w:ascii="Times New Roman" w:hAnsi="Times New Roman" w:eastAsia="仿宋_GB2312" w:cs="Times New Roman"/>
          <w:sz w:val="32"/>
          <w:szCs w:val="32"/>
          <w:highlight w:val="none"/>
        </w:rPr>
        <w:fldChar w:fldCharType="separate"/>
      </w:r>
      <w:r>
        <w:rPr>
          <w:rFonts w:hint="default" w:ascii="Times New Roman" w:hAnsi="Times New Roman" w:eastAsia="仿宋_GB2312" w:cs="Times New Roman"/>
          <w:sz w:val="32"/>
          <w:szCs w:val="32"/>
          <w:highlight w:val="none"/>
        </w:rPr>
        <w:t>①</w:t>
      </w:r>
      <w:r>
        <w:rPr>
          <w:rFonts w:hint="default" w:ascii="Times New Roman" w:hAnsi="Times New Roman" w:eastAsia="仿宋_GB2312" w:cs="Times New Roman"/>
          <w:sz w:val="32"/>
          <w:szCs w:val="32"/>
          <w:highlight w:val="none"/>
        </w:rPr>
        <w:fldChar w:fldCharType="end"/>
      </w:r>
      <w:r>
        <w:rPr>
          <w:rFonts w:hint="default" w:ascii="Times New Roman" w:hAnsi="Times New Roman" w:eastAsia="仿宋_GB2312" w:cs="Times New Roman"/>
          <w:sz w:val="32"/>
          <w:szCs w:val="32"/>
          <w:highlight w:val="none"/>
        </w:rPr>
        <w:t>数量指标：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宋体" w:cs="Times New Roman"/>
          <w:color w:val="000000" w:themeColor="text1"/>
          <w:sz w:val="30"/>
          <w:szCs w:val="24"/>
          <w:lang w:val="en-US" w:eastAsia="zh-CN"/>
          <w14:textFill>
            <w14:solidFill>
              <w14:schemeClr w14:val="tx1"/>
            </w14:solidFill>
          </w14:textFill>
        </w:rPr>
      </w:pPr>
      <w:r>
        <w:rPr>
          <w:rFonts w:hint="default" w:ascii="Times New Roman" w:hAnsi="Times New Roman" w:eastAsia="仿宋_GB2312" w:cs="Times New Roman"/>
          <w:sz w:val="32"/>
          <w:szCs w:val="32"/>
          <w:highlight w:val="none"/>
        </w:rPr>
        <w:t>指标1：</w:t>
      </w:r>
      <w:r>
        <w:rPr>
          <w:rFonts w:hint="eastAsia" w:eastAsia="仿宋_GB2312" w:cs="Times New Roman"/>
          <w:sz w:val="32"/>
          <w:szCs w:val="32"/>
          <w:highlight w:val="none"/>
          <w:lang w:val="en-US" w:eastAsia="zh-CN"/>
        </w:rPr>
        <w:t>组织赈济救援演练次数目标值&gt;=3次，实际完成值3次，完成率100%</w:t>
      </w:r>
      <w:r>
        <w:rPr>
          <w:rFonts w:hint="eastAsia"/>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color w:val="FF0000"/>
          <w:sz w:val="32"/>
          <w:szCs w:val="32"/>
          <w:highlight w:val="none"/>
        </w:rPr>
      </w:pPr>
      <w:r>
        <w:rPr>
          <w:rFonts w:hint="default" w:ascii="Times New Roman" w:hAnsi="Times New Roman" w:eastAsia="仿宋_GB2312" w:cs="Times New Roman"/>
          <w:sz w:val="32"/>
          <w:szCs w:val="32"/>
          <w:highlight w:val="none"/>
        </w:rPr>
        <w:t>指标</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开展应急救护培训人数目标值&gt;=600人，实际完成值700人，完成率117%，</w:t>
      </w:r>
      <w:r>
        <w:rPr>
          <w:rFonts w:hint="eastAsia" w:eastAsia="仿宋_GB2312" w:cs="Times New Roman"/>
          <w:sz w:val="32"/>
          <w:szCs w:val="32"/>
          <w:highlight w:val="none"/>
          <w:lang w:val="en-US" w:eastAsia="zh-CN"/>
        </w:rPr>
        <w:t>偏差原因：</w:t>
      </w:r>
      <w:r>
        <w:rPr>
          <w:rFonts w:hint="default" w:ascii="Times New Roman" w:hAnsi="Times New Roman" w:eastAsia="仿宋_GB2312" w:cs="Times New Roman"/>
          <w:sz w:val="32"/>
          <w:szCs w:val="32"/>
          <w:highlight w:val="none"/>
        </w:rPr>
        <w:t>超出培训计划人数100人，</w:t>
      </w:r>
      <w:r>
        <w:rPr>
          <w:rFonts w:hint="eastAsia" w:eastAsia="仿宋_GB2312" w:cs="Times New Roman"/>
          <w:sz w:val="32"/>
          <w:szCs w:val="32"/>
          <w:highlight w:val="none"/>
          <w:lang w:eastAsia="zh-CN"/>
        </w:rPr>
        <w:t>主要</w:t>
      </w:r>
      <w:r>
        <w:rPr>
          <w:rFonts w:hint="default" w:ascii="Times New Roman" w:hAnsi="Times New Roman" w:eastAsia="仿宋_GB2312" w:cs="Times New Roman"/>
          <w:sz w:val="32"/>
          <w:szCs w:val="32"/>
          <w:highlight w:val="none"/>
        </w:rPr>
        <w:t>是加大了持证救护员的培训力度，增强了群众的自救互救意识</w:t>
      </w:r>
      <w:r>
        <w:rPr>
          <w:rFonts w:hint="eastAsia"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整改措施：严格执行年初制定的培训计划，持续开展应急救护“五进”活动。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救助困难群众人数目标值&gt;=25人，实际完成值25人，完成率100%。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红十字公益宣传活动次数目标值&gt;=2次，实际完成值2次，完成率100%</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fldChar w:fldCharType="begin"/>
      </w:r>
      <w:r>
        <w:rPr>
          <w:rFonts w:hint="default" w:ascii="Times New Roman" w:hAnsi="Times New Roman" w:eastAsia="仿宋_GB2312" w:cs="Times New Roman"/>
          <w:sz w:val="32"/>
          <w:szCs w:val="32"/>
          <w:highlight w:val="none"/>
        </w:rPr>
        <w:instrText xml:space="preserve"> = 2 \* GB3 </w:instrText>
      </w:r>
      <w:r>
        <w:rPr>
          <w:rFonts w:hint="default" w:ascii="Times New Roman" w:hAnsi="Times New Roman" w:eastAsia="仿宋_GB2312" w:cs="Times New Roman"/>
          <w:sz w:val="32"/>
          <w:szCs w:val="32"/>
          <w:highlight w:val="none"/>
        </w:rPr>
        <w:fldChar w:fldCharType="separate"/>
      </w:r>
      <w:r>
        <w:rPr>
          <w:rFonts w:hint="default" w:ascii="Times New Roman" w:hAnsi="Times New Roman" w:eastAsia="仿宋_GB2312" w:cs="Times New Roman"/>
          <w:sz w:val="32"/>
          <w:szCs w:val="32"/>
          <w:highlight w:val="none"/>
        </w:rPr>
        <w:t>②</w:t>
      </w:r>
      <w:r>
        <w:rPr>
          <w:rFonts w:hint="default" w:ascii="Times New Roman" w:hAnsi="Times New Roman" w:eastAsia="仿宋_GB2312" w:cs="Times New Roman"/>
          <w:sz w:val="32"/>
          <w:szCs w:val="32"/>
          <w:highlight w:val="none"/>
        </w:rPr>
        <w:fldChar w:fldCharType="end"/>
      </w:r>
      <w:r>
        <w:rPr>
          <w:rFonts w:hint="default" w:ascii="Times New Roman" w:hAnsi="Times New Roman" w:eastAsia="仿宋_GB2312" w:cs="Times New Roman"/>
          <w:sz w:val="32"/>
          <w:szCs w:val="32"/>
          <w:highlight w:val="none"/>
        </w:rPr>
        <w:t>质量指标：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指标1：</w:t>
      </w:r>
      <w:r>
        <w:rPr>
          <w:rFonts w:hint="eastAsia" w:eastAsia="仿宋_GB2312" w:cs="Times New Roman"/>
          <w:sz w:val="32"/>
          <w:szCs w:val="32"/>
          <w:highlight w:val="none"/>
          <w:lang w:val="en-US" w:eastAsia="zh-CN"/>
        </w:rPr>
        <w:t>人员培训合格率目标值&gt;=80%，实际完成值80%，完成率100%。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宣传活动参与率目标值&gt;=50%，实际完成值50%，完成率100%。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救助金发放准确率目标值=100%，实际完成值100%，完成率100%。</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fldChar w:fldCharType="begin"/>
      </w:r>
      <w:r>
        <w:rPr>
          <w:rFonts w:hint="default" w:ascii="Times New Roman" w:hAnsi="Times New Roman" w:eastAsia="仿宋_GB2312" w:cs="Times New Roman"/>
          <w:sz w:val="32"/>
          <w:szCs w:val="32"/>
          <w:highlight w:val="none"/>
        </w:rPr>
        <w:instrText xml:space="preserve"> = 3 \* GB3 </w:instrText>
      </w:r>
      <w:r>
        <w:rPr>
          <w:rFonts w:hint="default" w:ascii="Times New Roman" w:hAnsi="Times New Roman" w:eastAsia="仿宋_GB2312" w:cs="Times New Roman"/>
          <w:sz w:val="32"/>
          <w:szCs w:val="32"/>
          <w:highlight w:val="none"/>
        </w:rPr>
        <w:fldChar w:fldCharType="separate"/>
      </w:r>
      <w:r>
        <w:rPr>
          <w:rFonts w:hint="default" w:ascii="Times New Roman" w:hAnsi="Times New Roman" w:eastAsia="仿宋_GB2312" w:cs="Times New Roman"/>
          <w:sz w:val="32"/>
          <w:szCs w:val="32"/>
          <w:highlight w:val="none"/>
        </w:rPr>
        <w:t>③</w:t>
      </w:r>
      <w:r>
        <w:rPr>
          <w:rFonts w:hint="default" w:ascii="Times New Roman" w:hAnsi="Times New Roman" w:eastAsia="仿宋_GB2312" w:cs="Times New Roman"/>
          <w:sz w:val="32"/>
          <w:szCs w:val="32"/>
          <w:highlight w:val="none"/>
        </w:rPr>
        <w:fldChar w:fldCharType="end"/>
      </w:r>
      <w:r>
        <w:rPr>
          <w:rFonts w:hint="default" w:ascii="Times New Roman" w:hAnsi="Times New Roman" w:eastAsia="仿宋_GB2312" w:cs="Times New Roman"/>
          <w:sz w:val="32"/>
          <w:szCs w:val="32"/>
          <w:highlight w:val="none"/>
        </w:rPr>
        <w:t>时效指标：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指标1：</w:t>
      </w:r>
      <w:r>
        <w:rPr>
          <w:rFonts w:hint="eastAsia" w:eastAsia="仿宋_GB2312" w:cs="Times New Roman"/>
          <w:sz w:val="32"/>
          <w:szCs w:val="32"/>
          <w:highlight w:val="none"/>
          <w:lang w:val="en-US" w:eastAsia="zh-CN"/>
        </w:rPr>
        <w:t>宣传活动举办及时率目标值&gt;=80%，实际完成值80%，完成率100%。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演练完成及时率目标值&gt;=80%，实际完成值80%，完成率100%。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救助金发放及时率目标值&gt;=90%，实际完成值90%，完成率100%。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培训完成及时率目标值&gt;=70%，实际完成值70%，完成率100%。</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outlineLvl w:val="0"/>
        <w:rPr>
          <w:rFonts w:hint="eastAsia" w:ascii="楷体" w:hAnsi="楷体" w:eastAsia="楷体" w:cs="楷体"/>
          <w:b/>
          <w:bCs/>
          <w:sz w:val="32"/>
          <w:szCs w:val="32"/>
        </w:rPr>
      </w:pPr>
      <w:r>
        <w:rPr>
          <w:rFonts w:hint="eastAsia" w:ascii="楷体" w:hAnsi="楷体" w:eastAsia="楷体" w:cs="楷体"/>
          <w:b/>
          <w:bCs/>
          <w:sz w:val="32"/>
          <w:szCs w:val="32"/>
        </w:rPr>
        <w:t>（四）项目成本情况</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0"/>
        <w:rPr>
          <w:rFonts w:eastAsia="仿宋_GB2312"/>
          <w:sz w:val="32"/>
          <w:szCs w:val="32"/>
        </w:rPr>
      </w:pPr>
      <w:r>
        <w:rPr>
          <w:rFonts w:hint="eastAsia" w:eastAsia="仿宋_GB2312"/>
          <w:sz w:val="32"/>
          <w:szCs w:val="32"/>
        </w:rPr>
        <w:t>项目成本指标包括经济成本指标、社会成本指标、生态环境成本指标三方面的内容，由</w:t>
      </w:r>
      <w:r>
        <w:rPr>
          <w:rFonts w:hint="eastAsia" w:eastAsia="仿宋_GB2312"/>
          <w:sz w:val="32"/>
          <w:szCs w:val="32"/>
          <w:lang w:val="en-US" w:eastAsia="zh-CN"/>
        </w:rPr>
        <w:t>1</w:t>
      </w:r>
      <w:r>
        <w:rPr>
          <w:rFonts w:hint="eastAsia" w:eastAsia="仿宋_GB2312"/>
          <w:sz w:val="32"/>
          <w:szCs w:val="32"/>
        </w:rPr>
        <w:t>个三级指标构成，权重分为10分，实际得分10分，得分率为100%，具体成本指标情况如下：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经济</w:t>
      </w:r>
      <w:r>
        <w:rPr>
          <w:rFonts w:hint="default" w:ascii="Times New Roman" w:hAnsi="Times New Roman" w:eastAsia="仿宋_GB2312" w:cs="Times New Roman"/>
          <w:sz w:val="32"/>
          <w:szCs w:val="32"/>
          <w:highlight w:val="none"/>
        </w:rPr>
        <w:t>成本指标：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指标1：</w:t>
      </w:r>
      <w:r>
        <w:rPr>
          <w:rFonts w:hint="eastAsia" w:eastAsia="仿宋_GB2312" w:cs="Times New Roman"/>
          <w:sz w:val="32"/>
          <w:szCs w:val="32"/>
          <w:highlight w:val="none"/>
          <w:lang w:val="en-US" w:eastAsia="zh-CN"/>
        </w:rPr>
        <w:t>救济费目标值&lt;=3万元，实际完成值3万元，完成率100%。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业务工作经费目标值&lt;=11万元，实际完成值11万元，完成率100%。</w:t>
      </w:r>
    </w:p>
    <w:p>
      <w:pPr>
        <w:pStyle w:val="12"/>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（五）项目效益情况</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highlight w:val="none"/>
          <w:lang w:val="en-US" w:eastAsia="zh-CN"/>
        </w:rPr>
        <w:t>项目效益类指标包括项目实施效益和满意度两方面的内容，由</w:t>
      </w:r>
      <w:r>
        <w:rPr>
          <w:rFonts w:hint="eastAsia"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val="en-US" w:eastAsia="zh-CN"/>
        </w:rPr>
        <w:t>个三级指标构成，权重分为</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lang w:val="en-US" w:eastAsia="zh-CN"/>
        </w:rPr>
        <w:t>0分，实际得分</w:t>
      </w:r>
      <w:r>
        <w:rPr>
          <w:rFonts w:hint="eastAsia"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lang w:val="en-US" w:eastAsia="zh-CN"/>
        </w:rPr>
        <w:t>分，得分率为</w:t>
      </w:r>
      <w:r>
        <w:rPr>
          <w:rFonts w:hint="eastAsia" w:eastAsia="仿宋_GB2312" w:cs="Times New Roman"/>
          <w:sz w:val="32"/>
          <w:szCs w:val="32"/>
          <w:highlight w:val="none"/>
          <w:lang w:val="en-US" w:eastAsia="zh-CN"/>
        </w:rPr>
        <w:t>100</w:t>
      </w:r>
      <w:r>
        <w:rPr>
          <w:rFonts w:hint="default" w:ascii="Times New Roman" w:hAnsi="Times New Roman" w:eastAsia="仿宋_GB2312" w:cs="Times New Roman"/>
          <w:sz w:val="32"/>
          <w:szCs w:val="32"/>
          <w:highlight w:val="none"/>
          <w:lang w:val="en-US" w:eastAsia="zh-CN"/>
        </w:rPr>
        <w:t>%。具体</w:t>
      </w:r>
      <w:r>
        <w:rPr>
          <w:rFonts w:hint="default" w:ascii="Times New Roman" w:hAnsi="Times New Roman" w:eastAsia="仿宋_GB2312" w:cs="Times New Roman"/>
          <w:sz w:val="32"/>
          <w:szCs w:val="32"/>
          <w:lang w:val="en-US" w:eastAsia="zh-CN"/>
        </w:rPr>
        <w:t>效益指标及满意度指标完成情况如下：</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1.实施效益</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①</w:t>
      </w:r>
      <w:r>
        <w:rPr>
          <w:rFonts w:hint="default" w:ascii="Times New Roman" w:hAnsi="Times New Roman" w:eastAsia="仿宋_GB2312" w:cs="Times New Roman"/>
          <w:sz w:val="32"/>
          <w:szCs w:val="32"/>
          <w:highlight w:val="none"/>
        </w:rPr>
        <w:t>社会效益指标：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指标1：</w:t>
      </w:r>
      <w:r>
        <w:rPr>
          <w:rFonts w:hint="eastAsia" w:eastAsia="仿宋_GB2312" w:cs="Times New Roman"/>
          <w:sz w:val="32"/>
          <w:szCs w:val="32"/>
          <w:highlight w:val="none"/>
          <w:lang w:val="en-US" w:eastAsia="zh-CN"/>
        </w:rPr>
        <w:t>宣传知晓率目标值&gt;=60%，实际完成值60%，完成率100%。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困难群众帮扶覆盖率目标值&gt;=50%，实际完成值50%，完成率100%。</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2.满意度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满意度指标：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指标1：</w:t>
      </w:r>
      <w:r>
        <w:rPr>
          <w:rFonts w:hint="eastAsia" w:eastAsia="仿宋_GB2312" w:cs="Times New Roman"/>
          <w:sz w:val="32"/>
          <w:szCs w:val="32"/>
          <w:highlight w:val="none"/>
          <w:lang w:val="en-US" w:eastAsia="zh-CN"/>
        </w:rPr>
        <w:t>救助人群满意度目标值&gt;=90%，实际完成值90%，完成率100%。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参与演练人员满意度目标值&gt;=90%，实际完成值90%，完成率100%。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lang w:val="en-US" w:eastAsia="zh-CN"/>
        </w:rPr>
      </w:pPr>
      <w:r>
        <w:rPr>
          <w:rFonts w:hint="default" w:ascii="Times New Roman" w:hAnsi="Times New Roman" w:eastAsia="仿宋_GB2312" w:cs="Times New Roman"/>
          <w:sz w:val="32"/>
          <w:szCs w:val="32"/>
          <w:highlight w:val="none"/>
        </w:rPr>
        <w:t>指标</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参与培训、宣传活动人员满意度目标值&gt;=90%，实际完成值90%，完成率100%。</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Style w:val="18"/>
          <w:rFonts w:hint="default" w:ascii="Times New Roman" w:hAnsi="Times New Roman" w:cs="Times New Roman"/>
          <w:color w:val="auto"/>
        </w:rPr>
      </w:pPr>
      <w:r>
        <w:rPr>
          <w:rFonts w:hint="default" w:ascii="Times New Roman" w:hAnsi="Times New Roman" w:eastAsia="黑体" w:cs="Times New Roman"/>
          <w:sz w:val="32"/>
          <w:szCs w:val="32"/>
          <w:lang w:val="en-US" w:eastAsia="zh-CN"/>
        </w:rPr>
        <w:t>五</w:t>
      </w:r>
      <w:r>
        <w:rPr>
          <w:rFonts w:hint="default" w:ascii="Times New Roman" w:hAnsi="Times New Roman" w:eastAsia="黑体" w:cs="Times New Roman"/>
          <w:sz w:val="32"/>
          <w:szCs w:val="32"/>
        </w:rPr>
        <w:t>、主要经验及做法、存在的问题及原因分析</w:t>
      </w:r>
    </w:p>
    <w:p>
      <w:pPr>
        <w:keepNext w:val="0"/>
        <w:keepLines w:val="0"/>
        <w:pageBreakBefore w:val="0"/>
        <w:kinsoku/>
        <w:wordWrap/>
        <w:overflowPunct/>
        <w:topLinePunct w:val="0"/>
        <w:autoSpaceDE/>
        <w:autoSpaceDN/>
        <w:bidi w:val="0"/>
        <w:adjustRightInd/>
        <w:snapToGrid/>
        <w:spacing w:line="560" w:lineRule="exact"/>
        <w:ind w:firstLine="627" w:firstLineChars="200"/>
        <w:jc w:val="both"/>
        <w:textAlignment w:val="auto"/>
        <w:rPr>
          <w:rFonts w:hint="default" w:ascii="Times New Roman" w:hAnsi="Times New Roman" w:eastAsia="楷体" w:cs="Times New Roman"/>
          <w:b/>
          <w:spacing w:val="-4"/>
          <w:sz w:val="32"/>
          <w:szCs w:val="32"/>
        </w:rPr>
      </w:pPr>
      <w:r>
        <w:rPr>
          <w:rFonts w:hint="default" w:ascii="Times New Roman" w:hAnsi="Times New Roman" w:eastAsia="楷体" w:cs="Times New Roman"/>
          <w:b/>
          <w:spacing w:val="-4"/>
          <w:sz w:val="32"/>
          <w:szCs w:val="32"/>
        </w:rPr>
        <w:t>（一）主要经验及做法</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eastAsia="仿宋_GB2312"/>
          <w:sz w:val="32"/>
          <w:szCs w:val="32"/>
        </w:rPr>
      </w:pPr>
      <w:r>
        <w:rPr>
          <w:rFonts w:eastAsia="仿宋_GB2312"/>
          <w:sz w:val="32"/>
          <w:szCs w:val="32"/>
        </w:rPr>
        <w:t>为确保项目顺利进行，提前做好项目</w:t>
      </w:r>
      <w:r>
        <w:rPr>
          <w:rFonts w:hint="eastAsia" w:eastAsia="仿宋_GB2312"/>
          <w:sz w:val="32"/>
          <w:szCs w:val="32"/>
          <w:lang w:eastAsia="zh-CN"/>
        </w:rPr>
        <w:t>计划</w:t>
      </w:r>
      <w:r>
        <w:rPr>
          <w:rFonts w:eastAsia="仿宋_GB2312"/>
          <w:sz w:val="32"/>
          <w:szCs w:val="32"/>
        </w:rPr>
        <w:t>，将所列计划再</w:t>
      </w:r>
      <w:r>
        <w:rPr>
          <w:rFonts w:hint="eastAsia" w:eastAsia="仿宋_GB2312"/>
          <w:sz w:val="32"/>
          <w:szCs w:val="32"/>
          <w:lang w:eastAsia="zh-CN"/>
        </w:rPr>
        <w:t>提交党组会议研究</w:t>
      </w:r>
      <w:r>
        <w:rPr>
          <w:rFonts w:eastAsia="仿宋_GB2312"/>
          <w:sz w:val="32"/>
          <w:szCs w:val="32"/>
        </w:rPr>
        <w:t>。在项目实施过程中做好定期监督检查，严格按照项目管理规范进行，在项目资金使用过程中，严格落实把关，按照项目资金使用范围做好审核工作，让项目资金落于实处。在项目完成后，做好受益群众民意调查及项目防范工作。</w:t>
      </w:r>
    </w:p>
    <w:p>
      <w:pPr>
        <w:pStyle w:val="10"/>
        <w:keepNext w:val="0"/>
        <w:keepLines w:val="0"/>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ascii="Times New Roman" w:hAnsi="Times New Roman" w:eastAsia="仿宋_GB2312"/>
          <w:b w:val="0"/>
          <w:bCs w:val="0"/>
          <w:kern w:val="2"/>
        </w:rPr>
      </w:pPr>
      <w:r>
        <w:rPr>
          <w:rFonts w:ascii="Times New Roman" w:hAnsi="Times New Roman" w:eastAsia="仿宋_GB2312"/>
          <w:b w:val="0"/>
          <w:bCs w:val="0"/>
          <w:kern w:val="2"/>
        </w:rPr>
        <w:t>严格坚持先做事、后验收、再拨付的原则，基本杜绝了资金被挤占和挪用现象的发生，跟踪检查到位。财政、纪检、监察等职能部门全面参与专项资金事前、事中和事后全过程的监管。在监督环节上，实行关口前移，从事后监督管理转向事前审核，事中监督和事后检查稽核相结合的监督制度上来，形成多环节全过程的监督管理格局，尽量早发现问题，早解决问题。</w:t>
      </w:r>
    </w:p>
    <w:p>
      <w:pPr>
        <w:pStyle w:val="10"/>
        <w:keepNext w:val="0"/>
        <w:keepLines w:val="0"/>
        <w:pageBreakBefore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Times New Roman" w:hAnsi="Times New Roman" w:eastAsia="仿宋_GB2312"/>
          <w:b w:val="0"/>
          <w:bCs w:val="0"/>
          <w:kern w:val="2"/>
          <w:lang w:eastAsia="zh-CN"/>
        </w:rPr>
      </w:pPr>
      <w:r>
        <w:rPr>
          <w:rFonts w:hint="eastAsia" w:ascii="仿宋_GB2312" w:hAnsi="仿宋_GB2312" w:eastAsia="仿宋_GB2312" w:cs="仿宋_GB2312"/>
          <w:b w:val="0"/>
          <w:bCs w:val="0"/>
          <w:color w:val="auto"/>
          <w:sz w:val="32"/>
          <w:szCs w:val="32"/>
          <w:u w:val="none" w:color="auto"/>
          <w:lang w:val="en-US" w:eastAsia="zh-CN"/>
        </w:rPr>
        <w:t>项目资金管理：制定项目资金使用制度；财政安排项目资金</w:t>
      </w:r>
      <w:r>
        <w:rPr>
          <w:rFonts w:hint="eastAsia" w:ascii="Times New Roman" w:hAnsi="Times New Roman" w:eastAsia="仿宋_GB2312"/>
          <w:b w:val="0"/>
          <w:bCs w:val="0"/>
          <w:kern w:val="2"/>
          <w:lang w:val="en-US" w:eastAsia="zh-CN"/>
        </w:rPr>
        <w:t>到位后，须制定资金使用计划，报党组会议研究，作为今后使用资金的依据；项目资金做到专款专用、专人负责，不占用、挪用项目资金；项目资金使用落实责任人，压实工作，使用必须按要求和规范进行。</w:t>
      </w:r>
    </w:p>
    <w:p>
      <w:pPr>
        <w:keepNext w:val="0"/>
        <w:keepLines w:val="0"/>
        <w:pageBreakBefore w:val="0"/>
        <w:kinsoku/>
        <w:wordWrap/>
        <w:overflowPunct/>
        <w:topLinePunct w:val="0"/>
        <w:autoSpaceDE/>
        <w:autoSpaceDN/>
        <w:bidi w:val="0"/>
        <w:adjustRightInd/>
        <w:snapToGrid/>
        <w:spacing w:line="560" w:lineRule="exact"/>
        <w:ind w:firstLine="627" w:firstLineChars="200"/>
        <w:jc w:val="both"/>
        <w:textAlignment w:val="auto"/>
        <w:rPr>
          <w:rFonts w:hint="default" w:ascii="Times New Roman" w:hAnsi="Times New Roman" w:eastAsia="楷体" w:cs="Times New Roman"/>
          <w:b/>
          <w:spacing w:val="-4"/>
          <w:sz w:val="32"/>
          <w:szCs w:val="32"/>
        </w:rPr>
      </w:pPr>
      <w:r>
        <w:rPr>
          <w:rFonts w:hint="eastAsia" w:eastAsia="楷体" w:cs="Times New Roman"/>
          <w:b/>
          <w:spacing w:val="-4"/>
          <w:sz w:val="32"/>
          <w:szCs w:val="32"/>
          <w:lang w:eastAsia="zh-CN"/>
        </w:rPr>
        <w:t>（二）</w:t>
      </w:r>
      <w:r>
        <w:rPr>
          <w:rFonts w:hint="default" w:ascii="Times New Roman" w:hAnsi="Times New Roman" w:eastAsia="楷体" w:cs="Times New Roman"/>
          <w:b/>
          <w:spacing w:val="-4"/>
          <w:sz w:val="32"/>
          <w:szCs w:val="32"/>
        </w:rPr>
        <w:t>存在的问题及原因分析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仿宋_GB2312"/>
          <w:bCs/>
          <w:color w:val="auto"/>
          <w:sz w:val="32"/>
          <w:szCs w:val="32"/>
          <w:lang w:val="en-US" w:eastAsia="zh-CN"/>
        </w:rPr>
      </w:pPr>
      <w:r>
        <w:rPr>
          <w:rFonts w:hint="eastAsia" w:ascii="Times New Roman" w:hAnsi="Times New Roman" w:eastAsia="仿宋_GB2312"/>
          <w:b w:val="0"/>
          <w:bCs/>
          <w:color w:val="auto"/>
          <w:sz w:val="32"/>
          <w:szCs w:val="32"/>
          <w:lang w:val="en-US" w:eastAsia="zh-CN"/>
        </w:rPr>
        <w:t>进一步加强对绩效管理工作的组织领导，提高对预算绩效管理工作重要性的认识，总结经验查找问题，完善的</w:t>
      </w:r>
      <w:r>
        <w:rPr>
          <w:rFonts w:hint="eastAsia" w:ascii="Times New Roman" w:hAnsi="Times New Roman" w:eastAsia="仿宋_GB2312"/>
          <w:bCs/>
          <w:color w:val="auto"/>
          <w:sz w:val="32"/>
          <w:szCs w:val="32"/>
          <w:lang w:val="en-US" w:eastAsia="zh-CN"/>
        </w:rPr>
        <w:t>绩效评价管理办法。对绩效管理工作认识不到位，</w:t>
      </w:r>
      <w:r>
        <w:rPr>
          <w:rFonts w:hint="eastAsia" w:eastAsia="仿宋_GB2312"/>
          <w:bCs/>
          <w:color w:val="auto"/>
          <w:sz w:val="32"/>
          <w:szCs w:val="32"/>
          <w:lang w:val="en-US" w:eastAsia="zh-CN"/>
        </w:rPr>
        <w:t>项目实施过程中，群众的满意度不是很高，下一年我会将广泛征求群众意见，努力提高群众对于我们工作的满意度</w:t>
      </w:r>
      <w:r>
        <w:rPr>
          <w:rFonts w:hint="eastAsia" w:ascii="Times New Roman" w:hAnsi="Times New Roman" w:eastAsia="仿宋_GB2312"/>
          <w:bCs/>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楷体" w:cs="Times New Roman"/>
          <w:b/>
          <w:spacing w:val="-4"/>
          <w:sz w:val="32"/>
          <w:szCs w:val="32"/>
          <w:lang w:val="en-US" w:eastAsia="zh-CN"/>
        </w:rPr>
      </w:pPr>
      <w:r>
        <w:rPr>
          <w:rFonts w:hint="eastAsia" w:ascii="Times New Roman" w:hAnsi="Times New Roman" w:eastAsia="仿宋_GB2312"/>
          <w:bCs/>
          <w:color w:val="auto"/>
          <w:sz w:val="32"/>
          <w:szCs w:val="32"/>
          <w:lang w:val="en-US" w:eastAsia="zh-CN"/>
        </w:rPr>
        <w:t>结合实际建立绩效工作考核制度，加大对全面实施预算绩效管理和绩进一步加强对绩效管理工作的组织领导，提高对预算绩效管理工作重要性的认识，总结经验查找问题，完善的绩效评价管理办法。对绩效管理工作认识不到位，认为只要资金使用合规合法就可以，对绩效工作认识不够，工作缺乏主动性。</w:t>
      </w:r>
    </w:p>
    <w:p>
      <w:pPr>
        <w:keepNext w:val="0"/>
        <w:keepLines w:val="0"/>
        <w:pageBreakBefore w:val="0"/>
        <w:numPr>
          <w:ilvl w:val="0"/>
          <w:numId w:val="5"/>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有关建议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eastAsia" w:ascii="Times New Roman" w:hAnsi="Times New Roman" w:eastAsia="仿宋_GB2312"/>
          <w:b w:val="0"/>
          <w:bCs/>
          <w:color w:val="auto"/>
          <w:sz w:val="32"/>
          <w:szCs w:val="32"/>
          <w:lang w:val="en-US" w:eastAsia="zh-CN"/>
        </w:rPr>
      </w:pPr>
      <w:r>
        <w:rPr>
          <w:rFonts w:hint="eastAsia" w:ascii="Times New Roman" w:hAnsi="Times New Roman" w:eastAsia="仿宋_GB2312"/>
          <w:b w:val="0"/>
          <w:bCs/>
          <w:color w:val="auto"/>
          <w:sz w:val="32"/>
          <w:szCs w:val="32"/>
          <w:lang w:val="en-US" w:eastAsia="zh-CN"/>
        </w:rPr>
        <w:t>1.绩效管理工作培训，进一步夯实业务基础，提高我单位绩效人员工作水平，加强有关绩效管理工作方面的培训。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0"/>
        <w:rPr>
          <w:rFonts w:hint="default" w:ascii="Times New Roman" w:hAnsi="Times New Roman" w:eastAsia="仿宋_GB2312"/>
          <w:b w:val="0"/>
          <w:bCs/>
          <w:color w:val="auto"/>
          <w:sz w:val="32"/>
          <w:szCs w:val="32"/>
          <w:lang w:val="en-US" w:eastAsia="zh-CN"/>
        </w:rPr>
      </w:pPr>
      <w:r>
        <w:rPr>
          <w:rFonts w:hint="eastAsia" w:ascii="Times New Roman" w:hAnsi="Times New Roman" w:eastAsia="仿宋_GB2312"/>
          <w:b w:val="0"/>
          <w:bCs/>
          <w:color w:val="auto"/>
          <w:sz w:val="32"/>
          <w:szCs w:val="32"/>
          <w:lang w:val="en-US" w:eastAsia="zh-CN"/>
        </w:rPr>
        <w:t>2.进一步加强对绩效管理工作的组织领导，提高对预算绩效管理工作重要性的认识，总结经验查找问题，完善的绩效评价管理办法。加大我会对全面实施预算绩效管理和绩效管理工作的学习力度，让“花钱必问效，无效必问责”的理念深入工作每个环节。</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lang w:val="en-US" w:eastAsia="zh-CN"/>
        </w:rPr>
      </w:pPr>
      <w:r>
        <w:rPr>
          <w:rFonts w:hint="default"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lang w:eastAsia="zh-Hans"/>
        </w:rPr>
        <w:t>、</w:t>
      </w:r>
      <w:r>
        <w:rPr>
          <w:rFonts w:hint="default" w:ascii="Times New Roman" w:hAnsi="Times New Roman" w:eastAsia="黑体" w:cs="Times New Roman"/>
          <w:sz w:val="32"/>
          <w:szCs w:val="32"/>
        </w:rPr>
        <w:t>其他需</w:t>
      </w:r>
      <w:bookmarkStart w:id="2" w:name="page8"/>
      <w:bookmarkEnd w:id="2"/>
      <w:r>
        <w:rPr>
          <w:rFonts w:hint="default" w:ascii="Times New Roman" w:hAnsi="Times New Roman" w:eastAsia="黑体" w:cs="Times New Roman"/>
          <w:sz w:val="32"/>
          <w:szCs w:val="32"/>
          <w:lang w:val="en-US" w:eastAsia="zh-CN"/>
        </w:rPr>
        <w:t>要说明的问题</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1、该项目在财政的指导和帮助下，项目在资金申请前置条件的落实上，发挥了积极的“花钱必问效，无效必问责”的项目绩效管理和实施的理念引导。</w:t>
      </w:r>
    </w:p>
    <w:p>
      <w:pPr>
        <w:pStyle w:val="10"/>
        <w:keepNext w:val="0"/>
        <w:keepLines w:val="0"/>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Times New Roman" w:hAnsi="Times New Roman" w:eastAsia="仿宋_GB2312" w:cs="Times New Roman"/>
          <w:b w:val="0"/>
          <w:bCs/>
          <w:color w:val="auto"/>
          <w:kern w:val="2"/>
          <w:sz w:val="32"/>
          <w:szCs w:val="32"/>
          <w:lang w:val="en-US" w:eastAsia="zh-CN" w:bidi="ar-SA"/>
        </w:rPr>
      </w:pPr>
      <w:r>
        <w:rPr>
          <w:rFonts w:hint="eastAsia" w:ascii="Times New Roman" w:hAnsi="Times New Roman" w:eastAsia="仿宋_GB2312" w:cs="Times New Roman"/>
          <w:b w:val="0"/>
          <w:bCs/>
          <w:color w:val="auto"/>
          <w:kern w:val="2"/>
          <w:sz w:val="32"/>
          <w:szCs w:val="32"/>
          <w:lang w:val="en-US" w:eastAsia="zh-CN" w:bidi="ar-SA"/>
        </w:rPr>
        <w:t>2、项目在实施的过程中进行了绩效的全过程管理，资金使用流程严谨合规，确保资金用途显效、高效。</w:t>
      </w:r>
    </w:p>
    <w:p>
      <w:pPr>
        <w:pStyle w:val="2"/>
        <w:rPr>
          <w:rFonts w:hint="default" w:ascii="Times New Roman" w:hAnsi="Times New Roman" w:eastAsia="仿宋_GB2312" w:cs="Times New Roman"/>
          <w:b w:val="0"/>
          <w:bCs/>
          <w:color w:val="auto"/>
          <w:kern w:val="2"/>
          <w:sz w:val="32"/>
          <w:szCs w:val="32"/>
          <w:lang w:val="en-US" w:eastAsia="zh-CN" w:bidi="ar-SA"/>
        </w:rPr>
        <w:sectPr>
          <w:pgSz w:w="11906" w:h="16838"/>
          <w:pgMar w:top="1440" w:right="1558" w:bottom="1440" w:left="1800" w:header="851" w:footer="992" w:gutter="0"/>
          <w:cols w:space="425" w:num="1"/>
          <w:docGrid w:type="lines" w:linePitch="312" w:charSpace="0"/>
        </w:sectPr>
      </w:pPr>
    </w:p>
    <w:p>
      <w:pPr>
        <w:spacing w:line="600" w:lineRule="exact"/>
        <w:rPr>
          <w:rFonts w:hint="default" w:ascii="Times New Roman" w:hAnsi="Times New Roman" w:eastAsia="黑体" w:cs="Times New Roman"/>
          <w:b/>
          <w:bCs w:val="0"/>
          <w:sz w:val="32"/>
          <w:szCs w:val="32"/>
        </w:rPr>
      </w:pPr>
      <w:r>
        <w:rPr>
          <w:rFonts w:hint="default" w:ascii="Times New Roman" w:hAnsi="Times New Roman" w:eastAsia="黑体" w:cs="Times New Roman"/>
          <w:b/>
          <w:bCs w:val="0"/>
          <w:sz w:val="32"/>
          <w:szCs w:val="32"/>
        </w:rPr>
        <w:t>附件1</w:t>
      </w:r>
    </w:p>
    <w:p>
      <w:pPr>
        <w:pStyle w:val="19"/>
        <w:ind w:firstLine="562"/>
        <w:jc w:val="center"/>
        <w:rPr>
          <w:rFonts w:hint="default" w:ascii="Times New Roman" w:hAnsi="Times New Roman" w:eastAsia="仿宋_GB2312" w:cs="Times New Roman"/>
          <w:b w:val="0"/>
          <w:bCs w:val="0"/>
          <w:sz w:val="32"/>
          <w:szCs w:val="32"/>
        </w:rPr>
      </w:pPr>
      <w:bookmarkStart w:id="3" w:name="_Toc26499_WPSOffice_Level2"/>
      <w:bookmarkStart w:id="4" w:name="_Toc30064_WPSOffice_Level1"/>
      <w:r>
        <w:rPr>
          <w:rFonts w:hint="eastAsia" w:eastAsia="仿宋_GB2312" w:cs="Times New Roman"/>
          <w:b/>
          <w:bCs/>
          <w:color w:val="auto"/>
          <w:sz w:val="32"/>
          <w:szCs w:val="32"/>
          <w:lang w:val="en-US" w:eastAsia="zh-CN"/>
        </w:rPr>
        <w:t>红十字专项业务费</w:t>
      </w:r>
      <w:r>
        <w:rPr>
          <w:rFonts w:hint="default" w:ascii="Times New Roman" w:hAnsi="Times New Roman" w:eastAsia="仿宋_GB2312" w:cs="Times New Roman"/>
          <w:b/>
          <w:bCs/>
          <w:color w:val="auto"/>
          <w:sz w:val="32"/>
          <w:szCs w:val="32"/>
        </w:rPr>
        <w:t>项目绩效评价指标体系及综合评分表</w:t>
      </w:r>
      <w:bookmarkEnd w:id="3"/>
      <w:bookmarkEnd w:id="4"/>
    </w:p>
    <w:tbl>
      <w:tblPr>
        <w:tblStyle w:val="14"/>
        <w:tblW w:w="12683"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832"/>
        <w:gridCol w:w="764"/>
        <w:gridCol w:w="873"/>
        <w:gridCol w:w="2353"/>
        <w:gridCol w:w="5198"/>
        <w:gridCol w:w="1300"/>
        <w:gridCol w:w="136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692" w:hRule="atLeast"/>
          <w:tblHeader/>
          <w:jc w:val="center"/>
        </w:trPr>
        <w:tc>
          <w:tcPr>
            <w:tcW w:w="832"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一级指标</w:t>
            </w:r>
          </w:p>
        </w:tc>
        <w:tc>
          <w:tcPr>
            <w:tcW w:w="764"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二级指标</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三级指标</w:t>
            </w:r>
          </w:p>
        </w:tc>
        <w:tc>
          <w:tcPr>
            <w:tcW w:w="235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指标解释</w:t>
            </w:r>
          </w:p>
        </w:tc>
        <w:tc>
          <w:tcPr>
            <w:tcW w:w="5198"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指标说明</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权重</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得分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919" w:hRule="atLeast"/>
          <w:jc w:val="center"/>
        </w:trPr>
        <w:tc>
          <w:tcPr>
            <w:tcW w:w="832"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p>
            <w:pPr>
              <w:widowControl/>
              <w:spacing w:line="0" w:lineRule="atLeast"/>
              <w:jc w:val="center"/>
              <w:rPr>
                <w:rFonts w:hint="default" w:ascii="Times New Roman" w:hAnsi="Times New Roman" w:eastAsia="仿宋_GB2312" w:cs="Times New Roman"/>
                <w:color w:val="000000"/>
                <w:kern w:val="0"/>
                <w:sz w:val="22"/>
                <w:szCs w:val="22"/>
              </w:rPr>
            </w:pPr>
          </w:p>
          <w:p>
            <w:pPr>
              <w:widowControl/>
              <w:spacing w:line="0" w:lineRule="atLeast"/>
              <w:jc w:val="center"/>
              <w:rPr>
                <w:rFonts w:hint="default" w:ascii="Times New Roman" w:hAnsi="Times New Roman" w:eastAsia="仿宋_GB2312" w:cs="Times New Roman"/>
                <w:color w:val="000000"/>
                <w:kern w:val="0"/>
                <w:sz w:val="22"/>
                <w:szCs w:val="22"/>
              </w:rPr>
            </w:pPr>
          </w:p>
          <w:p>
            <w:pPr>
              <w:widowControl/>
              <w:spacing w:line="0" w:lineRule="atLeast"/>
              <w:jc w:val="center"/>
              <w:rPr>
                <w:rFonts w:hint="default" w:ascii="Times New Roman" w:hAnsi="Times New Roman" w:eastAsia="仿宋_GB2312" w:cs="Times New Roman"/>
                <w:color w:val="000000"/>
                <w:kern w:val="0"/>
                <w:sz w:val="22"/>
                <w:szCs w:val="22"/>
              </w:rPr>
            </w:pPr>
          </w:p>
          <w:p>
            <w:pPr>
              <w:widowControl/>
              <w:spacing w:line="0" w:lineRule="atLeast"/>
              <w:jc w:val="center"/>
              <w:rPr>
                <w:rFonts w:hint="default" w:ascii="Times New Roman" w:hAnsi="Times New Roman" w:eastAsia="仿宋_GB2312" w:cs="Times New Roman"/>
                <w:color w:val="000000"/>
                <w:kern w:val="0"/>
                <w:sz w:val="22"/>
                <w:szCs w:val="22"/>
              </w:rPr>
            </w:pPr>
          </w:p>
          <w:p>
            <w:pPr>
              <w:widowControl/>
              <w:spacing w:line="0" w:lineRule="atLeast"/>
              <w:jc w:val="center"/>
              <w:rPr>
                <w:rFonts w:hint="default" w:ascii="Times New Roman" w:hAnsi="Times New Roman" w:eastAsia="仿宋_GB2312" w:cs="Times New Roman"/>
                <w:color w:val="000000"/>
                <w:kern w:val="0"/>
                <w:sz w:val="22"/>
                <w:szCs w:val="22"/>
              </w:rPr>
            </w:pP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决策　</w:t>
            </w:r>
          </w:p>
        </w:tc>
        <w:tc>
          <w:tcPr>
            <w:tcW w:w="764"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项目立项　</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立项依据</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充分性</w:t>
            </w:r>
          </w:p>
        </w:tc>
        <w:tc>
          <w:tcPr>
            <w:tcW w:w="2353"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项目立项是否符合法律法规、相关政策、发展规划以及部门职责，用以反映和考核项目立项依据情况。</w:t>
            </w:r>
          </w:p>
        </w:tc>
        <w:tc>
          <w:tcPr>
            <w:tcW w:w="5198" w:type="dxa"/>
            <w:shd w:val="clear" w:color="auto" w:fill="FFFFFF"/>
            <w:vAlign w:val="center"/>
          </w:tcPr>
          <w:p>
            <w:pPr>
              <w:widowControl/>
              <w:spacing w:line="0" w:lineRule="atLeast"/>
              <w:jc w:val="lef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①项目立项是否符合国家法律法规、国民经济发展规划和相关政策；</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②项目立项是否符合行业发展规划和政策要求；</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③项目立项是否与部门职责范围相符，属于部门履职所需；</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④项目是否属于公共财政支持范围，是否符合中央、地方事权支出责任划分原则；</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⑤项目是否与相关部门同类项目或部门内部相关项目重复。</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3</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90"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立项程序</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规范性</w:t>
            </w:r>
          </w:p>
        </w:tc>
        <w:tc>
          <w:tcPr>
            <w:tcW w:w="2353"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项目申请、设立过程是否符合相关要求，用以反映和考核项目立项的规范情况。</w:t>
            </w:r>
          </w:p>
        </w:tc>
        <w:tc>
          <w:tcPr>
            <w:tcW w:w="5198" w:type="dxa"/>
            <w:shd w:val="clear" w:color="auto" w:fill="FFFFFF"/>
            <w:vAlign w:val="center"/>
          </w:tcPr>
          <w:p>
            <w:pPr>
              <w:widowControl/>
              <w:spacing w:line="0" w:lineRule="atLeast"/>
              <w:jc w:val="lef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①项目是否按照规定的程序申请设立；</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②审批文件、材料是否符合相关要求；</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③事前是否已经过必要的可行性研究、专家论证、风险评估、绩效评估、集体决策。</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3</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90"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绩效目标　</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绩效目标</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合理性</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项目所设定的绩效目标是否依据充分，是否符合客观实际，用以反映和考核项目绩效目标与项目实施的相符情况。</w:t>
            </w:r>
          </w:p>
        </w:tc>
        <w:tc>
          <w:tcPr>
            <w:tcW w:w="5198" w:type="dxa"/>
            <w:shd w:val="clear" w:color="000000" w:fill="FFFFFF"/>
            <w:vAlign w:val="center"/>
          </w:tcPr>
          <w:p>
            <w:pPr>
              <w:widowControl/>
              <w:spacing w:line="0" w:lineRule="atLeast"/>
              <w:jc w:val="lef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（如未设定预算绩效目标，也可考核其他工作任务目标）</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①项目是否有绩效目标；</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②项目绩效目标与实际工作内容是否具有相关性；</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③项目预期产出效益和效果是否符合正常的业绩水平；</w:t>
            </w:r>
          </w:p>
          <w:p>
            <w:pPr>
              <w:widowControl/>
              <w:spacing w:line="0" w:lineRule="atLeast"/>
              <w:jc w:val="lef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④是否与预算确定的项目投资额或资金量相匹配。</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3</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464" w:hRule="atLeast"/>
          <w:jc w:val="center"/>
        </w:trPr>
        <w:tc>
          <w:tcPr>
            <w:tcW w:w="832"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764"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绩效指标</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明确性</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依据绩效目标设定的绩效指标是否清晰、细化、可衡量等，用以反映和考核项目绩效目标的明细化情况。</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①是否将项目绩效目标细化分解为具体的绩效指标；</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②是否通过清晰、可衡量的指标值予以体现；</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③是否与项目目标任务数或计划数相对应。</w:t>
            </w:r>
            <w:r>
              <w:rPr>
                <w:rFonts w:hint="default" w:ascii="Times New Roman" w:hAnsi="Times New Roman" w:eastAsia="仿宋_GB2312" w:cs="Times New Roman"/>
                <w:color w:val="000000"/>
                <w:kern w:val="0"/>
                <w:sz w:val="22"/>
                <w:szCs w:val="22"/>
              </w:rPr>
              <w:br w:type="textWrapping"/>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3</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942"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资金投入</w:t>
            </w:r>
          </w:p>
          <w:p>
            <w:pPr>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　</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预算编制</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科学性</w:t>
            </w:r>
          </w:p>
        </w:tc>
        <w:tc>
          <w:tcPr>
            <w:tcW w:w="2353"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项目预算编制是否经过科学论证、有明确标准，资金额度与年度目标是否相适应，用以反映和考核项目预算编制的科学性、合理性情况。</w:t>
            </w:r>
          </w:p>
        </w:tc>
        <w:tc>
          <w:tcPr>
            <w:tcW w:w="5198"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①预算编制是否经过科学论证；</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②预算内容与项目内容是否匹配；</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③预算额度测算依据是否充分，是否按照标准编制；</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④预算确定的项目投资额或资金量是否与工作任务相匹配。</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4</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706" w:hRule="atLeast"/>
          <w:jc w:val="center"/>
        </w:trPr>
        <w:tc>
          <w:tcPr>
            <w:tcW w:w="832"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764"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资金分配</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合理性</w:t>
            </w:r>
          </w:p>
        </w:tc>
        <w:tc>
          <w:tcPr>
            <w:tcW w:w="2353"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项目预算资金分配是否有测算依据，与补助单位或地方实际是否相适应，用以反映和考核项目预算资金分配的科学性、合理性情况。</w:t>
            </w:r>
          </w:p>
        </w:tc>
        <w:tc>
          <w:tcPr>
            <w:tcW w:w="5198"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①预算资金分配依据是否充分；</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②资金分配额度是否合理，与项目单位或地方实际是否相适应。</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4</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415" w:hRule="atLeast"/>
          <w:jc w:val="center"/>
        </w:trPr>
        <w:tc>
          <w:tcPr>
            <w:tcW w:w="832" w:type="dxa"/>
            <w:vMerge w:val="restart"/>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p>
          <w:p>
            <w:pPr>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过程</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　　</w:t>
            </w:r>
          </w:p>
        </w:tc>
        <w:tc>
          <w:tcPr>
            <w:tcW w:w="764"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资金管理</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资金到位率</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实际到位资金与预算资金的比率，用以反映和考核资金落实情况对项目实施的总体保障程度。</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资金到位率=（实际到位资金/预算资金）×100%。</w:t>
            </w:r>
          </w:p>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实际到位资金：一定时期（本年度或项目期）内落实到具体项目的资金。</w:t>
            </w:r>
          </w:p>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预算资金：一定时期（本年度或项目期）内预算安排到具体项目的资金。</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4</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320"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预算执行率</w:t>
            </w:r>
          </w:p>
        </w:tc>
        <w:tc>
          <w:tcPr>
            <w:tcW w:w="2353"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项目预算资金是否按照计划执行，用以反映或考核项目预算执行情况。</w:t>
            </w:r>
          </w:p>
        </w:tc>
        <w:tc>
          <w:tcPr>
            <w:tcW w:w="5198"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预算执行率=（实际支出资金/实际到位资金）×100%。</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实际支出资金：一定时期（本年度或项目期）内项目实际拨付的资金。</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lang w:val="en-US" w:eastAsia="zh-CN"/>
              </w:rPr>
            </w:pPr>
            <w:r>
              <w:rPr>
                <w:rFonts w:hint="default" w:ascii="Times New Roman" w:hAnsi="Times New Roman" w:eastAsia="仿宋_GB2312" w:cs="Times New Roman"/>
                <w:b/>
                <w:bCs/>
                <w:color w:val="000000"/>
                <w:kern w:val="0"/>
                <w:sz w:val="22"/>
                <w:szCs w:val="22"/>
                <w:lang w:val="en-US" w:eastAsia="zh-CN"/>
              </w:rPr>
              <w:t>4</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lang w:val="en-US" w:eastAsia="zh-CN"/>
              </w:rPr>
            </w:pPr>
            <w:r>
              <w:rPr>
                <w:rFonts w:hint="eastAsia" w:eastAsia="仿宋_GB2312" w:cs="Times New Roman"/>
                <w:b/>
                <w:bCs/>
                <w:color w:val="000000"/>
                <w:kern w:val="0"/>
                <w:sz w:val="22"/>
                <w:szCs w:val="22"/>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076"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资金管理</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资金使用</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合规性</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项目资金使用是否符合相关的财务管理制度规定，用以反映和考核项目资金的规范运行情况。</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①是否符合国家财经法规和财务管理制度以及有关专项资金管理办法的规定；</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②资金的拨付是否有完整的审批程序和手续；</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③是否符合项目预算批复或合同规定的用途；</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④是否存在截留、挤占、挪用、虚列支出等情况。</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4</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797"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组织实施</w:t>
            </w:r>
          </w:p>
          <w:p>
            <w:pPr>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　</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管理制度</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健全性</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项目实施单位的财务和业务管理制度是否健全，用以反映和考核财务和业务管理制度对项目顺利实施的保障情况。</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①是否已制定或具有相应的财务和业务管理制度；</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②财务和业务管理制度是否合法、合规、完整。</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4</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769" w:hRule="atLeast"/>
          <w:jc w:val="center"/>
        </w:trPr>
        <w:tc>
          <w:tcPr>
            <w:tcW w:w="832"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764"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制度执行</w:t>
            </w:r>
          </w:p>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有效性</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项目实施是否符合相关管理规定，用以反映和考核相关管理制度的有效执行情况。</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评价要点：</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①是否遵守相关法律法规和相关管理规定；</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②项目调整及支出调整手续是否完备；</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③项目合同书、验收报告、技术鉴定等资料是否齐全并及时归档；</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④项目实施的人员条件、场地设备、信息支撑等是否落实到位。</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4</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eastAsia="zh-CN"/>
              </w:rPr>
            </w:pPr>
            <w:r>
              <w:rPr>
                <w:rFonts w:hint="eastAsia" w:eastAsia="仿宋_GB2312" w:cs="Times New Roman"/>
                <w:b/>
                <w:bCs/>
                <w:color w:val="000000"/>
                <w:kern w:val="0"/>
                <w:sz w:val="22"/>
                <w:szCs w:val="22"/>
                <w:highlight w:val="none"/>
                <w:lang w:val="en-US" w:eastAsia="zh-C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917" w:hRule="atLeast"/>
          <w:jc w:val="center"/>
        </w:trPr>
        <w:tc>
          <w:tcPr>
            <w:tcW w:w="832"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产出</w:t>
            </w:r>
          </w:p>
        </w:tc>
        <w:tc>
          <w:tcPr>
            <w:tcW w:w="764"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产出数量</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实际完成率</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项目实施的实际产出数与计划产出数的比率，用以反映和考核项目产出数量目标的实现程度。</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实际完成率=（实际产出数/计划产出数）×100%。</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实际产出数：一定时期（本年度或项目期）内项目实际产出的产品或提供的服务数量。</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计划产出数：项目绩效目标确定的在一定时期（本年度或项目期）内计划产出的产品或提供的服务数量。</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10</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val="en-US" w:eastAsia="zh-CN"/>
              </w:rPr>
            </w:pPr>
            <w:r>
              <w:rPr>
                <w:rFonts w:hint="eastAsia" w:eastAsia="仿宋_GB2312" w:cs="Times New Roman"/>
                <w:b/>
                <w:bCs/>
                <w:color w:val="000000"/>
                <w:kern w:val="0"/>
                <w:sz w:val="22"/>
                <w:szCs w:val="22"/>
                <w:highlight w:val="none"/>
                <w:lang w:val="en-US" w:eastAsia="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718" w:hRule="atLeast"/>
          <w:jc w:val="center"/>
        </w:trPr>
        <w:tc>
          <w:tcPr>
            <w:tcW w:w="832"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764"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产出质量</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质量达标率</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项目完成的质量达标产出数与实际产出数的比率，用以反映和考核项目产出质量目标的实现程度。</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质量达标率=（质量达标产出数/实际产出数）×100%。</w:t>
            </w:r>
          </w:p>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质量达标产出数：一定时期（本年度或项目期）内实际达到既定质量标准的产品或服务数量。既定质量标准是指项目实施单位设立绩效目标时依据计划标准、行业标准、历史标准或其他标准而设定的绩效指标值。</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10</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val="en-US" w:eastAsia="zh-CN"/>
              </w:rPr>
            </w:pPr>
            <w:r>
              <w:rPr>
                <w:rFonts w:hint="eastAsia" w:eastAsia="仿宋_GB2312" w:cs="Times New Roman"/>
                <w:b/>
                <w:bCs/>
                <w:color w:val="000000"/>
                <w:kern w:val="0"/>
                <w:sz w:val="22"/>
                <w:szCs w:val="22"/>
                <w:highlight w:val="none"/>
                <w:lang w:val="en-US" w:eastAsia="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506" w:hRule="atLeast"/>
          <w:jc w:val="center"/>
        </w:trPr>
        <w:tc>
          <w:tcPr>
            <w:tcW w:w="832" w:type="dxa"/>
            <w:vMerge w:val="continue"/>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p>
        </w:tc>
        <w:tc>
          <w:tcPr>
            <w:tcW w:w="764" w:type="dxa"/>
            <w:shd w:val="clear" w:color="auto" w:fill="FFFFFF"/>
            <w:vAlign w:val="center"/>
          </w:tcPr>
          <w:p>
            <w:pPr>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产出时效</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完成及时性</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项目实际完成时间与计划完成时间的比较，用以反映和考核项目产出时效目标的实现程度。</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实际完成时间：项目实施单位完成该项目实际所耗用的时间。</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计划完成时间：按照项目实施计划或相关规定完成该项目所需的时间。</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10</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val="en-US" w:eastAsia="zh-CN"/>
              </w:rPr>
            </w:pPr>
            <w:r>
              <w:rPr>
                <w:rFonts w:hint="eastAsia" w:eastAsia="仿宋_GB2312" w:cs="Times New Roman"/>
                <w:b/>
                <w:bCs/>
                <w:color w:val="000000"/>
                <w:kern w:val="0"/>
                <w:sz w:val="22"/>
                <w:szCs w:val="22"/>
                <w:highlight w:val="none"/>
                <w:lang w:val="en-US" w:eastAsia="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2076" w:hRule="atLeast"/>
          <w:jc w:val="center"/>
        </w:trPr>
        <w:tc>
          <w:tcPr>
            <w:tcW w:w="832"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764"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产出成本</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成本节约率</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完成项目计划工作目标的实际节约成本与计划成本的比率，用以反映和考核项目的成本节约程度。</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成本节约率=[（计划成本-实际成本）/计划成本]×100%。</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实际成本：项目实施单位如期、保质、保量完成既定工作目标实际所耗费的支出。</w:t>
            </w:r>
            <w:r>
              <w:rPr>
                <w:rFonts w:hint="default" w:ascii="Times New Roman" w:hAnsi="Times New Roman" w:eastAsia="仿宋_GB2312" w:cs="Times New Roman"/>
                <w:color w:val="000000"/>
                <w:kern w:val="0"/>
                <w:sz w:val="22"/>
                <w:szCs w:val="22"/>
              </w:rPr>
              <w:br w:type="textWrapping"/>
            </w:r>
            <w:r>
              <w:rPr>
                <w:rFonts w:hint="default" w:ascii="Times New Roman" w:hAnsi="Times New Roman" w:eastAsia="仿宋_GB2312" w:cs="Times New Roman"/>
                <w:color w:val="000000"/>
                <w:kern w:val="0"/>
                <w:sz w:val="22"/>
                <w:szCs w:val="22"/>
              </w:rPr>
              <w:t>计划成本：项目实施单位为完成工作目标计划安排的支出，一般以项目预算为参考。</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10</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val="en-US" w:eastAsia="zh-CN"/>
              </w:rPr>
            </w:pPr>
            <w:r>
              <w:rPr>
                <w:rFonts w:hint="eastAsia" w:eastAsia="仿宋_GB2312" w:cs="Times New Roman"/>
                <w:b/>
                <w:bCs/>
                <w:color w:val="000000"/>
                <w:kern w:val="0"/>
                <w:sz w:val="22"/>
                <w:szCs w:val="22"/>
                <w:highlight w:val="none"/>
                <w:lang w:val="en-US" w:eastAsia="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889" w:hRule="atLeast"/>
          <w:jc w:val="center"/>
        </w:trPr>
        <w:tc>
          <w:tcPr>
            <w:tcW w:w="832"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效益　</w:t>
            </w:r>
          </w:p>
        </w:tc>
        <w:tc>
          <w:tcPr>
            <w:tcW w:w="764" w:type="dxa"/>
            <w:vMerge w:val="restart"/>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项目效益　</w:t>
            </w: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实施效益</w:t>
            </w:r>
          </w:p>
        </w:tc>
        <w:tc>
          <w:tcPr>
            <w:tcW w:w="2353" w:type="dxa"/>
            <w:shd w:val="clear" w:color="auto" w:fill="FFFFFF"/>
            <w:vAlign w:val="center"/>
          </w:tcPr>
          <w:p>
            <w:pPr>
              <w:widowControl/>
              <w:spacing w:line="0" w:lineRule="atLeast"/>
              <w:jc w:val="lef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项目实施所产生的效益。</w:t>
            </w:r>
          </w:p>
        </w:tc>
        <w:tc>
          <w:tcPr>
            <w:tcW w:w="5198" w:type="dxa"/>
            <w:shd w:val="clear" w:color="auto"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项目实施所产生的社会效益、经济效益、生态效益、可持续影响等。可根据项目实际情况有选择地设置和细化。</w:t>
            </w:r>
          </w:p>
        </w:tc>
        <w:tc>
          <w:tcPr>
            <w:tcW w:w="1300"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10</w:t>
            </w:r>
          </w:p>
        </w:tc>
        <w:tc>
          <w:tcPr>
            <w:tcW w:w="1363" w:type="dxa"/>
            <w:shd w:val="clear" w:color="auto"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val="en-US" w:eastAsia="zh-CN"/>
              </w:rPr>
            </w:pPr>
            <w:r>
              <w:rPr>
                <w:rFonts w:hint="eastAsia" w:eastAsia="仿宋_GB2312" w:cs="Times New Roman"/>
                <w:b/>
                <w:bCs/>
                <w:color w:val="000000"/>
                <w:kern w:val="0"/>
                <w:sz w:val="22"/>
                <w:szCs w:val="22"/>
                <w:highlight w:val="none"/>
                <w:lang w:val="en-US" w:eastAsia="zh-CN"/>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1137" w:hRule="atLeast"/>
          <w:jc w:val="center"/>
        </w:trPr>
        <w:tc>
          <w:tcPr>
            <w:tcW w:w="832"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764" w:type="dxa"/>
            <w:vMerge w:val="continue"/>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p>
        </w:tc>
        <w:tc>
          <w:tcPr>
            <w:tcW w:w="873" w:type="dxa"/>
            <w:shd w:val="clear" w:color="auto" w:fill="FFFFFF"/>
            <w:vAlign w:val="center"/>
          </w:tcPr>
          <w:p>
            <w:pPr>
              <w:widowControl/>
              <w:spacing w:line="0" w:lineRule="atLeast"/>
              <w:jc w:val="center"/>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满意度</w:t>
            </w:r>
          </w:p>
        </w:tc>
        <w:tc>
          <w:tcPr>
            <w:tcW w:w="2353"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社会公众或服务对象对项目实施效果的满意程度。</w:t>
            </w:r>
          </w:p>
        </w:tc>
        <w:tc>
          <w:tcPr>
            <w:tcW w:w="5198" w:type="dxa"/>
            <w:shd w:val="clear" w:color="000000" w:fill="FFFFFF"/>
            <w:vAlign w:val="center"/>
          </w:tcPr>
          <w:p>
            <w:pPr>
              <w:widowControl/>
              <w:spacing w:line="0" w:lineRule="atLeast"/>
              <w:rPr>
                <w:rFonts w:hint="default" w:ascii="Times New Roman" w:hAnsi="Times New Roman" w:eastAsia="仿宋_GB2312" w:cs="Times New Roman"/>
                <w:color w:val="000000"/>
                <w:kern w:val="0"/>
                <w:sz w:val="22"/>
                <w:szCs w:val="22"/>
              </w:rPr>
            </w:pPr>
            <w:r>
              <w:rPr>
                <w:rFonts w:hint="default" w:ascii="Times New Roman" w:hAnsi="Times New Roman" w:eastAsia="仿宋_GB2312" w:cs="Times New Roman"/>
                <w:color w:val="000000"/>
                <w:kern w:val="0"/>
                <w:sz w:val="22"/>
                <w:szCs w:val="22"/>
              </w:rPr>
              <w:t>社会公众或服务对象是指因该项目实施而受到影响的部门（单位）、群体或个人。一般采取社会调查的方式。</w:t>
            </w:r>
          </w:p>
        </w:tc>
        <w:tc>
          <w:tcPr>
            <w:tcW w:w="1300"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rPr>
            </w:pPr>
            <w:r>
              <w:rPr>
                <w:rFonts w:hint="default" w:ascii="Times New Roman" w:hAnsi="Times New Roman" w:eastAsia="仿宋_GB2312" w:cs="Times New Roman"/>
                <w:b/>
                <w:bCs/>
                <w:color w:val="000000"/>
                <w:kern w:val="0"/>
                <w:sz w:val="22"/>
                <w:szCs w:val="22"/>
              </w:rPr>
              <w:t>10</w:t>
            </w:r>
          </w:p>
        </w:tc>
        <w:tc>
          <w:tcPr>
            <w:tcW w:w="1363" w:type="dxa"/>
            <w:shd w:val="clear" w:color="000000" w:fill="FFFFFF"/>
            <w:vAlign w:val="center"/>
          </w:tcPr>
          <w:p>
            <w:pPr>
              <w:widowControl/>
              <w:spacing w:line="0" w:lineRule="atLeast"/>
              <w:jc w:val="center"/>
              <w:rPr>
                <w:rFonts w:hint="default" w:ascii="Times New Roman" w:hAnsi="Times New Roman" w:eastAsia="仿宋_GB2312" w:cs="Times New Roman"/>
                <w:b/>
                <w:bCs/>
                <w:color w:val="000000"/>
                <w:kern w:val="0"/>
                <w:sz w:val="22"/>
                <w:szCs w:val="22"/>
                <w:highlight w:val="none"/>
                <w:lang w:val="en-US" w:eastAsia="zh-CN"/>
              </w:rPr>
            </w:pPr>
            <w:r>
              <w:rPr>
                <w:rFonts w:hint="eastAsia" w:eastAsia="仿宋_GB2312" w:cs="Times New Roman"/>
                <w:b/>
                <w:bCs/>
                <w:color w:val="000000"/>
                <w:kern w:val="0"/>
                <w:sz w:val="22"/>
                <w:szCs w:val="22"/>
                <w:highlight w:val="none"/>
                <w:lang w:val="en-US" w:eastAsia="zh-CN"/>
              </w:rPr>
              <w:t>10</w:t>
            </w:r>
          </w:p>
        </w:tc>
      </w:tr>
    </w:tbl>
    <w:p>
      <w:pPr>
        <w:rPr>
          <w:rFonts w:hint="default" w:ascii="Times New Roman" w:hAnsi="Times New Roman" w:cs="Times New Roman"/>
        </w:rPr>
      </w:pPr>
    </w:p>
    <w:sectPr>
      <w:pgSz w:w="16838" w:h="11906" w:orient="landscape"/>
      <w:pgMar w:top="1800" w:right="1440" w:bottom="1558"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76253BA-80F6-4F33-BA6F-85F5FE311F3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0" w:usb1="00000000" w:usb2="00000000" w:usb3="00000000" w:csb0="00000000" w:csb1="00000000"/>
    <w:embedRegular r:id="rId2" w:fontKey="{6BF8B103-8C63-4BCD-9CFB-147EE79FB559}"/>
  </w:font>
  <w:font w:name="华文中宋">
    <w:panose1 w:val="02010600040101010101"/>
    <w:charset w:val="86"/>
    <w:family w:val="auto"/>
    <w:pitch w:val="default"/>
    <w:sig w:usb0="00000000" w:usb1="00000000" w:usb2="00000000" w:usb3="00000000" w:csb0="00000000" w:csb1="00000000"/>
    <w:embedRegular r:id="rId3" w:fontKey="{81287A34-73BF-470D-AC75-E2402121C6B8}"/>
  </w:font>
  <w:font w:name="方正小标宋_GBK">
    <w:altName w:val="微软雅黑"/>
    <w:panose1 w:val="03000509000000000000"/>
    <w:charset w:val="86"/>
    <w:family w:val="script"/>
    <w:pitch w:val="default"/>
    <w:sig w:usb0="00000000" w:usb1="00000000" w:usb2="00000000" w:usb3="00000000" w:csb0="00040000" w:csb1="00000000"/>
    <w:embedRegular r:id="rId4" w:fontKey="{AA7CA253-74C1-466F-BFB9-91719C3B0869}"/>
  </w:font>
  <w:font w:name="方正楷体_GB2312">
    <w:panose1 w:val="02000000000000000000"/>
    <w:charset w:val="86"/>
    <w:family w:val="auto"/>
    <w:pitch w:val="default"/>
    <w:sig w:usb0="00000000" w:usb1="00000000" w:usb2="00000000" w:usb3="00000000" w:csb0="00000000" w:csb1="00000000"/>
    <w:embedRegular r:id="rId5" w:fontKey="{E33D92D1-8D24-455E-B05E-0D4B36CFD318}"/>
  </w:font>
  <w:font w:name="楷体_GB2312">
    <w:panose1 w:val="02010609030101010101"/>
    <w:charset w:val="86"/>
    <w:family w:val="auto"/>
    <w:pitch w:val="default"/>
    <w:sig w:usb0="00000000" w:usb1="00000000" w:usb2="00000000" w:usb3="00000000" w:csb0="00000000" w:csb1="00000000"/>
    <w:embedRegular r:id="rId6" w:fontKey="{B7629D98-13A4-4764-A259-1FA52FB39130}"/>
  </w:font>
  <w:font w:name="方正仿宋_GBK">
    <w:panose1 w:val="03000509000000000000"/>
    <w:charset w:val="86"/>
    <w:family w:val="auto"/>
    <w:pitch w:val="default"/>
    <w:sig w:usb0="00000000" w:usb1="00000000" w:usb2="00000000" w:usb3="00000000" w:csb0="00000000" w:csb1="00000000"/>
    <w:embedRegular r:id="rId7" w:fontKey="{0C58DC88-7B5C-4A31-8FDE-60F6F86CC60B}"/>
  </w:font>
  <w:font w:name="楷体">
    <w:panose1 w:val="02010609060101010101"/>
    <w:charset w:val="86"/>
    <w:family w:val="modern"/>
    <w:pitch w:val="default"/>
    <w:sig w:usb0="800002BF" w:usb1="38CF7CFA" w:usb2="00000016" w:usb3="00000000" w:csb0="00040001" w:csb1="00000000"/>
    <w:embedRegular r:id="rId8" w:fontKey="{5D4F5506-5EAE-4682-B174-84D5AF7429E7}"/>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22003363"/>
    </w:sdtPr>
    <w:sdtContent>
      <w:p>
        <w:pPr>
          <w:pStyle w:val="7"/>
          <w:jc w:val="center"/>
        </w:pPr>
        <w:r>
          <w:fldChar w:fldCharType="begin"/>
        </w:r>
        <w:r>
          <w:instrText xml:space="preserve">PAGE   \* MERGEFORMAT</w:instrText>
        </w:r>
        <w:r>
          <w:fldChar w:fldCharType="separate"/>
        </w:r>
        <w:r>
          <w:rPr>
            <w:lang w:val="zh-CN"/>
          </w:rPr>
          <w:t>13</w:t>
        </w:r>
        <w: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F60FE1"/>
    <w:multiLevelType w:val="singleLevel"/>
    <w:tmpl w:val="DEF60FE1"/>
    <w:lvl w:ilvl="0" w:tentative="0">
      <w:start w:val="1"/>
      <w:numFmt w:val="decimal"/>
      <w:suff w:val="nothing"/>
      <w:lvlText w:val="（%1）"/>
      <w:lvlJc w:val="left"/>
    </w:lvl>
  </w:abstractNum>
  <w:abstractNum w:abstractNumId="1">
    <w:nsid w:val="116B29BF"/>
    <w:multiLevelType w:val="singleLevel"/>
    <w:tmpl w:val="116B29BF"/>
    <w:lvl w:ilvl="0" w:tentative="0">
      <w:start w:val="3"/>
      <w:numFmt w:val="chineseCounting"/>
      <w:suff w:val="nothing"/>
      <w:lvlText w:val="%1、"/>
      <w:lvlJc w:val="left"/>
      <w:rPr>
        <w:rFonts w:hint="eastAsia"/>
      </w:rPr>
    </w:lvl>
  </w:abstractNum>
  <w:abstractNum w:abstractNumId="2">
    <w:nsid w:val="24A35B86"/>
    <w:multiLevelType w:val="singleLevel"/>
    <w:tmpl w:val="24A35B86"/>
    <w:lvl w:ilvl="0" w:tentative="0">
      <w:start w:val="6"/>
      <w:numFmt w:val="chineseCounting"/>
      <w:suff w:val="nothing"/>
      <w:lvlText w:val="%1、"/>
      <w:lvlJc w:val="left"/>
      <w:rPr>
        <w:rFonts w:hint="eastAsia"/>
      </w:rPr>
    </w:lvl>
  </w:abstractNum>
  <w:abstractNum w:abstractNumId="3">
    <w:nsid w:val="27813159"/>
    <w:multiLevelType w:val="singleLevel"/>
    <w:tmpl w:val="27813159"/>
    <w:lvl w:ilvl="0" w:tentative="0">
      <w:start w:val="3"/>
      <w:numFmt w:val="chineseCounting"/>
      <w:suff w:val="nothing"/>
      <w:lvlText w:val="（%1）"/>
      <w:lvlJc w:val="left"/>
      <w:rPr>
        <w:rFonts w:hint="eastAsia"/>
      </w:rPr>
    </w:lvl>
  </w:abstractNum>
  <w:abstractNum w:abstractNumId="4">
    <w:nsid w:val="6FAA0AB1"/>
    <w:multiLevelType w:val="singleLevel"/>
    <w:tmpl w:val="6FAA0AB1"/>
    <w:lvl w:ilvl="0" w:tentative="0">
      <w:start w:val="2"/>
      <w:numFmt w:val="chineseCounting"/>
      <w:suff w:val="nothing"/>
      <w:lvlText w:val="（%1）"/>
      <w:lvlJc w:val="left"/>
      <w:rPr>
        <w:rFonts w:hint="eastAsia"/>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hNzIwMTU3YTRiZGFmNmQzZjIzZGVlNTEwZTE2MjkifQ=="/>
  </w:docVars>
  <w:rsids>
    <w:rsidRoot w:val="FF6C4049"/>
    <w:rsid w:val="006F7242"/>
    <w:rsid w:val="007B168A"/>
    <w:rsid w:val="008B2CFE"/>
    <w:rsid w:val="00F26FF6"/>
    <w:rsid w:val="0176587A"/>
    <w:rsid w:val="04050E68"/>
    <w:rsid w:val="048C0C43"/>
    <w:rsid w:val="07397B77"/>
    <w:rsid w:val="13471461"/>
    <w:rsid w:val="13B90F01"/>
    <w:rsid w:val="155F7C93"/>
    <w:rsid w:val="15764363"/>
    <w:rsid w:val="181066D2"/>
    <w:rsid w:val="182C2145"/>
    <w:rsid w:val="1C671E73"/>
    <w:rsid w:val="21D11C86"/>
    <w:rsid w:val="274F0D9D"/>
    <w:rsid w:val="2F3F3E83"/>
    <w:rsid w:val="38CA40DD"/>
    <w:rsid w:val="395F2B56"/>
    <w:rsid w:val="3BECE841"/>
    <w:rsid w:val="3DE77067"/>
    <w:rsid w:val="3F3C7A12"/>
    <w:rsid w:val="3FF7797D"/>
    <w:rsid w:val="4122449C"/>
    <w:rsid w:val="428A5A25"/>
    <w:rsid w:val="447B120C"/>
    <w:rsid w:val="45B34C94"/>
    <w:rsid w:val="4A150B5A"/>
    <w:rsid w:val="4A185268"/>
    <w:rsid w:val="4B622B70"/>
    <w:rsid w:val="4F2A3693"/>
    <w:rsid w:val="576D61D0"/>
    <w:rsid w:val="5AB270D4"/>
    <w:rsid w:val="5BFF6039"/>
    <w:rsid w:val="5CEC7901"/>
    <w:rsid w:val="5D435C2E"/>
    <w:rsid w:val="5D76A616"/>
    <w:rsid w:val="5D7F20B9"/>
    <w:rsid w:val="5DAC7D0E"/>
    <w:rsid w:val="5E574FFC"/>
    <w:rsid w:val="5F8D4900"/>
    <w:rsid w:val="5F98B5AF"/>
    <w:rsid w:val="5FA42371"/>
    <w:rsid w:val="5FFE8511"/>
    <w:rsid w:val="5FFEACE2"/>
    <w:rsid w:val="63BE62CB"/>
    <w:rsid w:val="643EE26D"/>
    <w:rsid w:val="64DF1AC0"/>
    <w:rsid w:val="651B5F9F"/>
    <w:rsid w:val="654F1AD9"/>
    <w:rsid w:val="6F5C41AC"/>
    <w:rsid w:val="6FAF6C78"/>
    <w:rsid w:val="6FBD00AC"/>
    <w:rsid w:val="70425FE3"/>
    <w:rsid w:val="7317C656"/>
    <w:rsid w:val="734ED73F"/>
    <w:rsid w:val="75214DA5"/>
    <w:rsid w:val="76937BF9"/>
    <w:rsid w:val="772B5869"/>
    <w:rsid w:val="77FD8BE9"/>
    <w:rsid w:val="79A9BD3F"/>
    <w:rsid w:val="7B3734EF"/>
    <w:rsid w:val="7BFFFDD0"/>
    <w:rsid w:val="7C336E5F"/>
    <w:rsid w:val="7D7A5F86"/>
    <w:rsid w:val="7F37BB4E"/>
    <w:rsid w:val="7FEF918E"/>
    <w:rsid w:val="7FF4FB6F"/>
    <w:rsid w:val="7FF7FF27"/>
    <w:rsid w:val="7FFDF714"/>
    <w:rsid w:val="AF3FCD8C"/>
    <w:rsid w:val="B9FA2A43"/>
    <w:rsid w:val="BF7BA1E4"/>
    <w:rsid w:val="BFDF04FA"/>
    <w:rsid w:val="BFE227EF"/>
    <w:rsid w:val="CF2A1ABD"/>
    <w:rsid w:val="DA7D3CD9"/>
    <w:rsid w:val="DBDC0ADA"/>
    <w:rsid w:val="DEDE2B06"/>
    <w:rsid w:val="EBFA31C2"/>
    <w:rsid w:val="F3F4A11B"/>
    <w:rsid w:val="F9FD7907"/>
    <w:rsid w:val="FAEF933D"/>
    <w:rsid w:val="FB3A4A6A"/>
    <w:rsid w:val="FF6C4049"/>
    <w:rsid w:val="FF78F63F"/>
    <w:rsid w:val="FF8D20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semiHidden/>
    <w:unhideWhenUsed/>
    <w:qFormat/>
    <w:uiPriority w:val="9"/>
    <w:pPr>
      <w:keepNext/>
      <w:widowControl/>
      <w:spacing w:before="240" w:after="60"/>
      <w:jc w:val="left"/>
      <w:outlineLvl w:val="2"/>
    </w:pPr>
    <w:rPr>
      <w:rFonts w:asciiTheme="majorHAnsi" w:hAnsiTheme="majorHAnsi" w:eastAsiaTheme="majorEastAsia"/>
      <w:b/>
      <w:bCs/>
      <w:kern w:val="0"/>
      <w:sz w:val="26"/>
      <w:szCs w:val="2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link w:val="22"/>
    <w:qFormat/>
    <w:uiPriority w:val="0"/>
    <w:pPr>
      <w:jc w:val="left"/>
    </w:pPr>
  </w:style>
  <w:style w:type="paragraph" w:styleId="5">
    <w:name w:val="Body Text Indent"/>
    <w:basedOn w:val="1"/>
    <w:qFormat/>
    <w:uiPriority w:val="0"/>
    <w:pPr>
      <w:spacing w:after="120"/>
      <w:ind w:left="420" w:leftChars="200"/>
    </w:pPr>
    <w:rPr>
      <w:rFonts w:ascii="Calibri" w:hAnsi="Calibri"/>
    </w:rPr>
  </w:style>
  <w:style w:type="paragraph" w:styleId="6">
    <w:name w:val="Balloon Text"/>
    <w:basedOn w:val="1"/>
    <w:link w:val="20"/>
    <w:qFormat/>
    <w:uiPriority w:val="0"/>
    <w:rPr>
      <w:sz w:val="18"/>
      <w:szCs w:val="18"/>
    </w:rPr>
  </w:style>
  <w:style w:type="paragraph" w:styleId="7">
    <w:name w:val="footer"/>
    <w:basedOn w:val="1"/>
    <w:unhideWhenUsed/>
    <w:qFormat/>
    <w:uiPriority w:val="99"/>
    <w:pPr>
      <w:tabs>
        <w:tab w:val="center" w:pos="4153"/>
        <w:tab w:val="right" w:pos="8306"/>
      </w:tabs>
      <w:snapToGrid w:val="0"/>
      <w:jc w:val="left"/>
    </w:pPr>
    <w:rPr>
      <w:rFonts w:ascii="Calibri" w:hAnsi="Calibri"/>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qFormat/>
    <w:uiPriority w:val="11"/>
    <w:pPr>
      <w:spacing w:before="240" w:after="60" w:line="312" w:lineRule="auto"/>
      <w:jc w:val="center"/>
      <w:outlineLvl w:val="1"/>
    </w:pPr>
    <w:rPr>
      <w:b/>
      <w:bCs/>
      <w:kern w:val="28"/>
      <w:sz w:val="32"/>
      <w:szCs w:val="32"/>
    </w:rPr>
  </w:style>
  <w:style w:type="paragraph" w:styleId="10">
    <w:name w:val="Title"/>
    <w:basedOn w:val="1"/>
    <w:next w:val="1"/>
    <w:qFormat/>
    <w:uiPriority w:val="10"/>
    <w:pPr>
      <w:widowControl/>
      <w:spacing w:before="240" w:after="60"/>
      <w:jc w:val="center"/>
      <w:outlineLvl w:val="0"/>
    </w:pPr>
    <w:rPr>
      <w:rFonts w:asciiTheme="majorHAnsi" w:hAnsiTheme="majorHAnsi" w:eastAsiaTheme="majorEastAsia"/>
      <w:b/>
      <w:bCs/>
      <w:kern w:val="28"/>
      <w:sz w:val="32"/>
      <w:szCs w:val="32"/>
    </w:rPr>
  </w:style>
  <w:style w:type="paragraph" w:styleId="11">
    <w:name w:val="annotation subject"/>
    <w:basedOn w:val="4"/>
    <w:next w:val="4"/>
    <w:link w:val="23"/>
    <w:qFormat/>
    <w:uiPriority w:val="0"/>
    <w:rPr>
      <w:b/>
      <w:bCs/>
    </w:rPr>
  </w:style>
  <w:style w:type="paragraph" w:styleId="12">
    <w:name w:val="Body Text First Indent"/>
    <w:basedOn w:val="2"/>
    <w:qFormat/>
    <w:uiPriority w:val="0"/>
    <w:pPr>
      <w:spacing w:after="0"/>
      <w:ind w:firstLine="200" w:firstLineChars="200"/>
    </w:pPr>
  </w:style>
  <w:style w:type="paragraph" w:styleId="13">
    <w:name w:val="Body Text First Indent 2"/>
    <w:basedOn w:val="5"/>
    <w:qFormat/>
    <w:uiPriority w:val="0"/>
    <w:pPr>
      <w:ind w:firstLine="420" w:firstLineChars="200"/>
    </w:pPr>
  </w:style>
  <w:style w:type="character" w:styleId="16">
    <w:name w:val="Strong"/>
    <w:basedOn w:val="15"/>
    <w:qFormat/>
    <w:uiPriority w:val="0"/>
    <w:rPr>
      <w:b/>
      <w:bCs/>
    </w:rPr>
  </w:style>
  <w:style w:type="character" w:styleId="17">
    <w:name w:val="annotation reference"/>
    <w:basedOn w:val="15"/>
    <w:qFormat/>
    <w:uiPriority w:val="0"/>
    <w:rPr>
      <w:sz w:val="21"/>
      <w:szCs w:val="21"/>
    </w:rPr>
  </w:style>
  <w:style w:type="character" w:customStyle="1" w:styleId="18">
    <w:name w:val="fontstyle01"/>
    <w:qFormat/>
    <w:uiPriority w:val="0"/>
    <w:rPr>
      <w:rFonts w:ascii="仿宋_GB2312" w:hAnsi="仿宋_GB2312" w:eastAsia="仿宋_GB2312" w:cs="仿宋_GB2312"/>
      <w:color w:val="000000"/>
      <w:sz w:val="32"/>
      <w:szCs w:val="32"/>
    </w:rPr>
  </w:style>
  <w:style w:type="paragraph" w:customStyle="1" w:styleId="19">
    <w:name w:val="闻政-正文段落文字"/>
    <w:basedOn w:val="1"/>
    <w:qFormat/>
    <w:uiPriority w:val="3"/>
    <w:pPr>
      <w:spacing w:line="500" w:lineRule="exact"/>
      <w:ind w:firstLine="200"/>
    </w:pPr>
    <w:rPr>
      <w:kern w:val="0"/>
      <w:szCs w:val="28"/>
    </w:rPr>
  </w:style>
  <w:style w:type="character" w:customStyle="1" w:styleId="20">
    <w:name w:val="批注框文本 字符"/>
    <w:basedOn w:val="15"/>
    <w:link w:val="6"/>
    <w:qFormat/>
    <w:uiPriority w:val="0"/>
    <w:rPr>
      <w:rFonts w:ascii="Times New Roman" w:hAnsi="Times New Roman" w:eastAsia="宋体" w:cs="Times New Roman"/>
      <w:kern w:val="2"/>
      <w:sz w:val="18"/>
      <w:szCs w:val="18"/>
    </w:rPr>
  </w:style>
  <w:style w:type="character" w:customStyle="1" w:styleId="21">
    <w:name w:val="页眉 字符"/>
    <w:basedOn w:val="15"/>
    <w:link w:val="8"/>
    <w:qFormat/>
    <w:uiPriority w:val="0"/>
    <w:rPr>
      <w:rFonts w:ascii="Times New Roman" w:hAnsi="Times New Roman" w:eastAsia="宋体" w:cs="Times New Roman"/>
      <w:kern w:val="2"/>
      <w:sz w:val="18"/>
      <w:szCs w:val="18"/>
    </w:rPr>
  </w:style>
  <w:style w:type="character" w:customStyle="1" w:styleId="22">
    <w:name w:val="批注文字 字符"/>
    <w:basedOn w:val="15"/>
    <w:link w:val="4"/>
    <w:qFormat/>
    <w:uiPriority w:val="0"/>
    <w:rPr>
      <w:rFonts w:ascii="Times New Roman" w:hAnsi="Times New Roman" w:eastAsia="宋体" w:cs="Times New Roman"/>
      <w:kern w:val="2"/>
      <w:sz w:val="21"/>
      <w:szCs w:val="24"/>
    </w:rPr>
  </w:style>
  <w:style w:type="character" w:customStyle="1" w:styleId="23">
    <w:name w:val="批注主题 字符"/>
    <w:basedOn w:val="22"/>
    <w:link w:val="11"/>
    <w:qFormat/>
    <w:uiPriority w:val="0"/>
    <w:rPr>
      <w:rFonts w:ascii="Times New Roman" w:hAnsi="Times New Roman" w:eastAsia="宋体" w:cs="Times New Roman"/>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10844</Words>
  <Characters>11245</Characters>
  <Lines>58</Lines>
  <Paragraphs>16</Paragraphs>
  <TotalTime>2</TotalTime>
  <ScaleCrop>false</ScaleCrop>
  <LinksUpToDate>false</LinksUpToDate>
  <CharactersWithSpaces>11257</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2023-03-08T13:13:00Z</dcterms:created>
  <dc:creator>审核人</dc:creator>
  <cp:lastModifiedBy>Administrator</cp:lastModifiedBy>
  <cp:lastPrinted>2024-09-25T09:32:04Z</cp:lastPrinted>
  <dcterms:modified xsi:type="dcterms:W3CDTF">2024-09-25T09:32:32Z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222AC609ECDD4162A349B54814384BAD</vt:lpwstr>
  </property>
</Properties>
</file>