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67C94A">
      <w:pPr>
        <w:keepNext w:val="0"/>
        <w:keepLines w:val="0"/>
        <w:pageBreakBefore w:val="0"/>
        <w:widowControl w:val="0"/>
        <w:kinsoku/>
        <w:wordWrap/>
        <w:overflowPunct/>
        <w:topLinePunct w:val="0"/>
        <w:adjustRightInd/>
        <w:snapToGrid/>
        <w:spacing w:line="240" w:lineRule="auto"/>
        <w:jc w:val="center"/>
        <w:textAlignment w:val="auto"/>
        <w:rPr>
          <w:rFonts w:hint="eastAsia" w:ascii="方正小标宋_GBK" w:hAnsi="方正小标宋_GBK" w:eastAsia="方正小标宋_GBK"/>
          <w:sz w:val="44"/>
          <w:szCs w:val="44"/>
          <w:highlight w:val="none"/>
        </w:rPr>
      </w:pPr>
    </w:p>
    <w:p w14:paraId="10216B66">
      <w:pPr>
        <w:keepNext w:val="0"/>
        <w:keepLines w:val="0"/>
        <w:pageBreakBefore w:val="0"/>
        <w:widowControl w:val="0"/>
        <w:kinsoku/>
        <w:wordWrap/>
        <w:overflowPunct/>
        <w:topLinePunct w:val="0"/>
        <w:adjustRightInd/>
        <w:snapToGrid/>
        <w:spacing w:line="240" w:lineRule="auto"/>
        <w:jc w:val="center"/>
        <w:textAlignment w:val="auto"/>
        <w:rPr>
          <w:rFonts w:hint="eastAsia" w:ascii="方正小标宋_GBK" w:hAnsi="方正小标宋_GBK" w:eastAsia="方正小标宋_GBK"/>
          <w:sz w:val="44"/>
          <w:szCs w:val="44"/>
          <w:highlight w:val="none"/>
        </w:rPr>
      </w:pPr>
    </w:p>
    <w:p w14:paraId="77760A71">
      <w:pPr>
        <w:keepNext w:val="0"/>
        <w:keepLines w:val="0"/>
        <w:pageBreakBefore w:val="0"/>
        <w:widowControl w:val="0"/>
        <w:kinsoku/>
        <w:wordWrap/>
        <w:overflowPunct/>
        <w:topLinePunct w:val="0"/>
        <w:adjustRightInd/>
        <w:snapToGrid/>
        <w:spacing w:line="240" w:lineRule="auto"/>
        <w:jc w:val="center"/>
        <w:textAlignment w:val="auto"/>
        <w:rPr>
          <w:rFonts w:hint="eastAsia" w:ascii="方正小标宋_GBK" w:hAnsi="方正小标宋_GBK" w:eastAsia="方正小标宋_GBK"/>
          <w:sz w:val="44"/>
          <w:szCs w:val="44"/>
          <w:highlight w:val="none"/>
        </w:rPr>
      </w:pPr>
    </w:p>
    <w:p w14:paraId="7A3AEA11">
      <w:pPr>
        <w:keepNext w:val="0"/>
        <w:keepLines w:val="0"/>
        <w:pageBreakBefore w:val="0"/>
        <w:widowControl w:val="0"/>
        <w:kinsoku/>
        <w:wordWrap/>
        <w:overflowPunct/>
        <w:topLinePunct w:val="0"/>
        <w:adjustRightInd/>
        <w:snapToGrid/>
        <w:spacing w:line="240" w:lineRule="auto"/>
        <w:jc w:val="center"/>
        <w:textAlignment w:val="auto"/>
        <w:rPr>
          <w:rFonts w:hint="eastAsia" w:ascii="方正小标宋_GBK" w:hAnsi="方正小标宋_GBK" w:eastAsia="方正小标宋_GBK"/>
          <w:sz w:val="44"/>
          <w:szCs w:val="44"/>
          <w:highlight w:val="none"/>
        </w:rPr>
      </w:pPr>
    </w:p>
    <w:p w14:paraId="1ADED792">
      <w:pPr>
        <w:keepNext w:val="0"/>
        <w:keepLines w:val="0"/>
        <w:pageBreakBefore w:val="0"/>
        <w:widowControl w:val="0"/>
        <w:kinsoku/>
        <w:wordWrap/>
        <w:overflowPunct/>
        <w:topLinePunct w:val="0"/>
        <w:adjustRightInd/>
        <w:snapToGrid/>
        <w:spacing w:line="240" w:lineRule="auto"/>
        <w:jc w:val="center"/>
        <w:textAlignment w:val="auto"/>
        <w:rPr>
          <w:rFonts w:hint="eastAsia" w:ascii="方正小标宋_GBK" w:hAnsi="方正小标宋_GBK" w:eastAsia="方正小标宋_GBK"/>
          <w:sz w:val="44"/>
          <w:szCs w:val="44"/>
          <w:highlight w:val="none"/>
        </w:rPr>
      </w:pPr>
      <w:r>
        <w:rPr>
          <w:rFonts w:hint="eastAsia" w:ascii="方正小标宋_GBK" w:hAnsi="方正小标宋_GBK" w:eastAsia="方正小标宋_GBK"/>
          <w:sz w:val="44"/>
          <w:szCs w:val="44"/>
          <w:highlight w:val="none"/>
        </w:rPr>
        <w:t>新疆阿勒泰地区红十字会</w:t>
      </w:r>
    </w:p>
    <w:p w14:paraId="5D3B1CB5">
      <w:pPr>
        <w:keepNext w:val="0"/>
        <w:keepLines w:val="0"/>
        <w:pageBreakBefore w:val="0"/>
        <w:widowControl w:val="0"/>
        <w:kinsoku/>
        <w:wordWrap/>
        <w:overflowPunct/>
        <w:topLinePunct w:val="0"/>
        <w:adjustRightInd/>
        <w:snapToGrid/>
        <w:spacing w:line="240" w:lineRule="auto"/>
        <w:jc w:val="center"/>
        <w:textAlignment w:val="auto"/>
        <w:rPr>
          <w:rFonts w:hint="eastAsia" w:ascii="方正小标宋_GBK" w:hAnsi="方正小标宋_GBK" w:eastAsia="方正小标宋_GBK"/>
          <w:sz w:val="44"/>
          <w:szCs w:val="44"/>
          <w:highlight w:val="none"/>
        </w:rPr>
      </w:pPr>
      <w:r>
        <w:rPr>
          <w:rFonts w:hint="eastAsia" w:ascii="方正小标宋_GBK" w:hAnsi="方正小标宋_GBK" w:eastAsia="方正小标宋_GBK"/>
          <w:sz w:val="44"/>
          <w:szCs w:val="44"/>
          <w:highlight w:val="none"/>
        </w:rPr>
        <w:t>2022年度部门决算公开说明</w:t>
      </w:r>
    </w:p>
    <w:p w14:paraId="134BA266">
      <w:pPr>
        <w:keepNext w:val="0"/>
        <w:keepLines w:val="0"/>
        <w:pageBreakBefore w:val="0"/>
        <w:widowControl w:val="0"/>
        <w:kinsoku/>
        <w:wordWrap/>
        <w:overflowPunct/>
        <w:topLinePunct w:val="0"/>
        <w:autoSpaceDE/>
        <w:autoSpaceDN/>
        <w:adjustRightInd/>
        <w:snapToGrid/>
        <w:spacing w:line="240" w:lineRule="auto"/>
        <w:ind w:left="0" w:leftChars="0"/>
        <w:jc w:val="center"/>
        <w:textAlignment w:val="auto"/>
        <w:rPr>
          <w:rFonts w:hint="eastAsia" w:ascii="仿宋_GB2312" w:hAnsi="仿宋_GB2312" w:eastAsia="仿宋_GB2312" w:cs="仿宋_GB2312"/>
          <w:b w:val="0"/>
          <w:kern w:val="0"/>
          <w:sz w:val="32"/>
          <w:szCs w:val="32"/>
          <w:highlight w:val="none"/>
        </w:rPr>
      </w:pPr>
      <w:r>
        <w:rPr>
          <w:rFonts w:hint="eastAsia" w:ascii="方正小标宋_GBK" w:hAnsi="宋体" w:eastAsia="方正小标宋_GBK"/>
          <w:sz w:val="44"/>
          <w:szCs w:val="44"/>
          <w:highlight w:val="none"/>
        </w:rPr>
        <w:br w:type="page"/>
      </w:r>
      <w:r>
        <w:rPr>
          <w:rFonts w:hint="eastAsia" w:ascii="仿宋_GB2312" w:hAnsi="仿宋_GB2312" w:eastAsia="仿宋_GB2312" w:cs="仿宋_GB2312"/>
          <w:b/>
          <w:kern w:val="0"/>
          <w:sz w:val="36"/>
          <w:szCs w:val="36"/>
          <w:highlight w:val="none"/>
        </w:rPr>
        <w:t>目 录</w:t>
      </w:r>
    </w:p>
    <w:p w14:paraId="72247C25">
      <w:pPr>
        <w:pStyle w:val="5"/>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TOC \o "1-3" \n \h \u</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
          <w:sz w:val="32"/>
          <w:szCs w:val="32"/>
          <w:highlight w:val="none"/>
        </w:rPr>
        <w:fldChar w:fldCharType="begin"/>
      </w:r>
      <w:r>
        <w:rPr>
          <w:rFonts w:hint="eastAsia" w:ascii="仿宋_GB2312" w:hAnsi="仿宋_GB2312" w:eastAsia="仿宋_GB2312" w:cs="仿宋_GB2312"/>
          <w:b/>
          <w:sz w:val="32"/>
          <w:szCs w:val="32"/>
          <w:highlight w:val="none"/>
        </w:rPr>
        <w:instrText xml:space="preserve"> HYPERLINK \l _Toc32314</w:instrText>
      </w:r>
      <w:r>
        <w:rPr>
          <w:rFonts w:hint="eastAsia" w:ascii="仿宋_GB2312" w:hAnsi="仿宋_GB2312" w:eastAsia="仿宋_GB2312" w:cs="仿宋_GB2312"/>
          <w:b/>
          <w:sz w:val="32"/>
          <w:szCs w:val="32"/>
          <w:highlight w:val="none"/>
        </w:rPr>
        <w:fldChar w:fldCharType="separate"/>
      </w:r>
      <w:r>
        <w:rPr>
          <w:rFonts w:hint="eastAsia" w:ascii="仿宋_GB2312" w:hAnsi="仿宋_GB2312" w:eastAsia="仿宋_GB2312" w:cs="仿宋_GB2312"/>
          <w:b/>
          <w:sz w:val="32"/>
          <w:szCs w:val="32"/>
          <w:highlight w:val="none"/>
        </w:rPr>
        <w:t>第一部分 单位概况</w:t>
      </w:r>
      <w:r>
        <w:rPr>
          <w:rFonts w:hint="eastAsia" w:ascii="仿宋_GB2312" w:hAnsi="仿宋_GB2312" w:eastAsia="仿宋_GB2312" w:cs="仿宋_GB2312"/>
          <w:b/>
          <w:sz w:val="32"/>
          <w:szCs w:val="32"/>
          <w:highlight w:val="none"/>
        </w:rPr>
        <w:fldChar w:fldCharType="end"/>
      </w:r>
    </w:p>
    <w:p w14:paraId="2E2D8EC8">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_Toc30567</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rPr>
        <w:t>一、主要职能</w:t>
      </w:r>
      <w:r>
        <w:rPr>
          <w:rFonts w:hint="eastAsia" w:ascii="仿宋_GB2312" w:hAnsi="仿宋_GB2312" w:eastAsia="仿宋_GB2312" w:cs="仿宋_GB2312"/>
          <w:sz w:val="32"/>
          <w:szCs w:val="32"/>
          <w:highlight w:val="none"/>
        </w:rPr>
        <w:fldChar w:fldCharType="end"/>
      </w:r>
    </w:p>
    <w:p w14:paraId="74131018">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_Toc2151</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rPr>
        <w:t>二、机构设置</w:t>
      </w:r>
      <w:r>
        <w:rPr>
          <w:rFonts w:hint="eastAsia" w:ascii="仿宋_GB2312" w:hAnsi="仿宋_GB2312" w:eastAsia="仿宋_GB2312" w:cs="仿宋_GB2312"/>
          <w:kern w:val="0"/>
          <w:sz w:val="32"/>
          <w:szCs w:val="32"/>
          <w:highlight w:val="none"/>
          <w:lang w:eastAsia="zh-CN"/>
        </w:rPr>
        <w:t>及人员</w:t>
      </w:r>
      <w:r>
        <w:rPr>
          <w:rFonts w:hint="eastAsia" w:ascii="仿宋_GB2312" w:hAnsi="仿宋_GB2312" w:eastAsia="仿宋_GB2312" w:cs="仿宋_GB2312"/>
          <w:kern w:val="0"/>
          <w:sz w:val="32"/>
          <w:szCs w:val="32"/>
          <w:highlight w:val="none"/>
        </w:rPr>
        <w:t>情况</w:t>
      </w:r>
      <w:r>
        <w:rPr>
          <w:rFonts w:hint="eastAsia" w:ascii="仿宋_GB2312" w:hAnsi="仿宋_GB2312" w:eastAsia="仿宋_GB2312" w:cs="仿宋_GB2312"/>
          <w:sz w:val="32"/>
          <w:szCs w:val="32"/>
          <w:highlight w:val="none"/>
        </w:rPr>
        <w:fldChar w:fldCharType="end"/>
      </w:r>
    </w:p>
    <w:p w14:paraId="5CE9EFDB">
      <w:pPr>
        <w:pStyle w:val="5"/>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highlight w:val="none"/>
        </w:rPr>
        <w:fldChar w:fldCharType="begin"/>
      </w:r>
      <w:r>
        <w:rPr>
          <w:rFonts w:hint="eastAsia" w:ascii="仿宋_GB2312" w:hAnsi="仿宋_GB2312" w:eastAsia="仿宋_GB2312" w:cs="仿宋_GB2312"/>
          <w:b/>
          <w:sz w:val="32"/>
          <w:szCs w:val="32"/>
          <w:highlight w:val="none"/>
        </w:rPr>
        <w:instrText xml:space="preserve"> HYPERLINK \l _Toc29374</w:instrText>
      </w:r>
      <w:r>
        <w:rPr>
          <w:rFonts w:hint="eastAsia" w:ascii="仿宋_GB2312" w:hAnsi="仿宋_GB2312" w:eastAsia="仿宋_GB2312" w:cs="仿宋_GB2312"/>
          <w:b/>
          <w:sz w:val="32"/>
          <w:szCs w:val="32"/>
          <w:highlight w:val="none"/>
        </w:rPr>
        <w:fldChar w:fldCharType="separate"/>
      </w:r>
      <w:r>
        <w:rPr>
          <w:rFonts w:hint="eastAsia" w:ascii="仿宋_GB2312" w:hAnsi="仿宋_GB2312" w:eastAsia="仿宋_GB2312" w:cs="仿宋_GB2312"/>
          <w:b/>
          <w:sz w:val="32"/>
          <w:szCs w:val="32"/>
          <w:highlight w:val="none"/>
        </w:rPr>
        <w:t>第二部分 部门决算情况说明</w:t>
      </w:r>
      <w:r>
        <w:rPr>
          <w:rFonts w:hint="eastAsia" w:ascii="仿宋_GB2312" w:hAnsi="仿宋_GB2312" w:eastAsia="仿宋_GB2312" w:cs="仿宋_GB2312"/>
          <w:b/>
          <w:sz w:val="32"/>
          <w:szCs w:val="32"/>
          <w:highlight w:val="none"/>
        </w:rPr>
        <w:fldChar w:fldCharType="end"/>
      </w:r>
    </w:p>
    <w:p w14:paraId="3E460F72">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_Toc25314</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rPr>
        <w:t>一、收入支出决算总体情况说明</w:t>
      </w:r>
      <w:r>
        <w:rPr>
          <w:rFonts w:hint="eastAsia" w:ascii="仿宋_GB2312" w:hAnsi="仿宋_GB2312" w:eastAsia="仿宋_GB2312" w:cs="仿宋_GB2312"/>
          <w:sz w:val="32"/>
          <w:szCs w:val="32"/>
          <w:highlight w:val="none"/>
        </w:rPr>
        <w:fldChar w:fldCharType="end"/>
      </w:r>
    </w:p>
    <w:p w14:paraId="465BD3D9">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_Toc12142</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lang w:eastAsia="zh-CN"/>
        </w:rPr>
        <w:t>二、</w:t>
      </w:r>
      <w:r>
        <w:rPr>
          <w:rFonts w:hint="eastAsia" w:ascii="仿宋_GB2312" w:hAnsi="仿宋_GB2312" w:eastAsia="仿宋_GB2312" w:cs="仿宋_GB2312"/>
          <w:kern w:val="0"/>
          <w:sz w:val="32"/>
          <w:szCs w:val="32"/>
          <w:highlight w:val="none"/>
        </w:rPr>
        <w:t>收入</w:t>
      </w:r>
      <w:r>
        <w:rPr>
          <w:rFonts w:hint="eastAsia" w:ascii="仿宋_GB2312" w:hAnsi="仿宋_GB2312" w:eastAsia="仿宋_GB2312" w:cs="仿宋_GB2312"/>
          <w:kern w:val="0"/>
          <w:sz w:val="32"/>
          <w:szCs w:val="32"/>
          <w:highlight w:val="none"/>
          <w:lang w:eastAsia="zh-CN"/>
        </w:rPr>
        <w:t>决算</w:t>
      </w:r>
      <w:r>
        <w:rPr>
          <w:rFonts w:hint="eastAsia" w:ascii="仿宋_GB2312" w:hAnsi="仿宋_GB2312" w:eastAsia="仿宋_GB2312" w:cs="仿宋_GB2312"/>
          <w:kern w:val="0"/>
          <w:sz w:val="32"/>
          <w:szCs w:val="32"/>
          <w:highlight w:val="none"/>
        </w:rPr>
        <w:t>情况说明</w:t>
      </w:r>
      <w:r>
        <w:rPr>
          <w:rFonts w:hint="eastAsia" w:ascii="仿宋_GB2312" w:hAnsi="仿宋_GB2312" w:eastAsia="仿宋_GB2312" w:cs="仿宋_GB2312"/>
          <w:sz w:val="32"/>
          <w:szCs w:val="32"/>
          <w:highlight w:val="none"/>
        </w:rPr>
        <w:fldChar w:fldCharType="end"/>
      </w:r>
    </w:p>
    <w:p w14:paraId="73A857EB">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_Toc13201</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lang w:eastAsia="zh-CN"/>
        </w:rPr>
        <w:t>三、支出决算情况说明</w:t>
      </w:r>
      <w:r>
        <w:rPr>
          <w:rFonts w:hint="eastAsia" w:ascii="仿宋_GB2312" w:hAnsi="仿宋_GB2312" w:eastAsia="仿宋_GB2312" w:cs="仿宋_GB2312"/>
          <w:sz w:val="32"/>
          <w:szCs w:val="32"/>
          <w:highlight w:val="none"/>
        </w:rPr>
        <w:fldChar w:fldCharType="end"/>
      </w:r>
    </w:p>
    <w:p w14:paraId="06BD4701">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_Toc26564</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lang w:eastAsia="zh-CN"/>
        </w:rPr>
        <w:t>四、财政拨款收入支出决算总体情况说明</w:t>
      </w:r>
      <w:r>
        <w:rPr>
          <w:rFonts w:hint="eastAsia" w:ascii="仿宋_GB2312" w:hAnsi="仿宋_GB2312" w:eastAsia="仿宋_GB2312" w:cs="仿宋_GB2312"/>
          <w:sz w:val="32"/>
          <w:szCs w:val="32"/>
          <w:highlight w:val="none"/>
        </w:rPr>
        <w:fldChar w:fldCharType="end"/>
      </w:r>
    </w:p>
    <w:p w14:paraId="7E7DD4F7">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_Toc20360</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lang w:eastAsia="zh-CN"/>
        </w:rPr>
        <w:t>五、一般公共预算财政拨款支出决算情况说明</w:t>
      </w:r>
      <w:r>
        <w:rPr>
          <w:rFonts w:hint="eastAsia" w:ascii="仿宋_GB2312" w:hAnsi="仿宋_GB2312" w:eastAsia="仿宋_GB2312" w:cs="仿宋_GB2312"/>
          <w:sz w:val="32"/>
          <w:szCs w:val="32"/>
          <w:highlight w:val="none"/>
        </w:rPr>
        <w:fldChar w:fldCharType="end"/>
      </w:r>
    </w:p>
    <w:p w14:paraId="240C5BC4">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_Toc30870</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lang w:eastAsia="zh-CN"/>
        </w:rPr>
        <w:t>六、一般公共预算财政拨款基本支出决算情况说明</w:t>
      </w:r>
      <w:r>
        <w:rPr>
          <w:rFonts w:hint="eastAsia" w:ascii="仿宋_GB2312" w:hAnsi="仿宋_GB2312" w:eastAsia="仿宋_GB2312" w:cs="仿宋_GB2312"/>
          <w:sz w:val="32"/>
          <w:szCs w:val="32"/>
          <w:highlight w:val="none"/>
        </w:rPr>
        <w:fldChar w:fldCharType="end"/>
      </w:r>
    </w:p>
    <w:p w14:paraId="294EFCE4">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_Toc21518</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lang w:eastAsia="zh-CN"/>
        </w:rPr>
        <w:t>七</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eastAsia="zh-CN"/>
        </w:rPr>
        <w:t>财政拨款</w:t>
      </w:r>
      <w:r>
        <w:rPr>
          <w:rFonts w:hint="eastAsia" w:ascii="仿宋_GB2312" w:hAnsi="仿宋_GB2312" w:eastAsia="仿宋_GB2312" w:cs="仿宋_GB2312"/>
          <w:kern w:val="0"/>
          <w:sz w:val="32"/>
          <w:szCs w:val="32"/>
          <w:highlight w:val="none"/>
        </w:rPr>
        <w:t>“三公”经费支出</w:t>
      </w:r>
      <w:r>
        <w:rPr>
          <w:rFonts w:hint="eastAsia" w:ascii="仿宋_GB2312" w:hAnsi="仿宋_GB2312" w:eastAsia="仿宋_GB2312" w:cs="仿宋_GB2312"/>
          <w:kern w:val="0"/>
          <w:sz w:val="32"/>
          <w:szCs w:val="32"/>
          <w:highlight w:val="none"/>
          <w:lang w:eastAsia="zh-CN"/>
        </w:rPr>
        <w:t>决算</w:t>
      </w:r>
      <w:r>
        <w:rPr>
          <w:rFonts w:hint="eastAsia" w:ascii="仿宋_GB2312" w:hAnsi="仿宋_GB2312" w:eastAsia="仿宋_GB2312" w:cs="仿宋_GB2312"/>
          <w:kern w:val="0"/>
          <w:sz w:val="32"/>
          <w:szCs w:val="32"/>
          <w:highlight w:val="none"/>
        </w:rPr>
        <w:t>情况</w:t>
      </w:r>
      <w:r>
        <w:rPr>
          <w:rFonts w:hint="eastAsia" w:ascii="仿宋_GB2312" w:hAnsi="仿宋_GB2312" w:eastAsia="仿宋_GB2312" w:cs="仿宋_GB2312"/>
          <w:kern w:val="0"/>
          <w:sz w:val="32"/>
          <w:szCs w:val="32"/>
          <w:highlight w:val="none"/>
          <w:lang w:eastAsia="zh-CN"/>
        </w:rPr>
        <w:t>说明</w:t>
      </w:r>
      <w:r>
        <w:rPr>
          <w:rFonts w:hint="eastAsia" w:ascii="仿宋_GB2312" w:hAnsi="仿宋_GB2312" w:eastAsia="仿宋_GB2312" w:cs="仿宋_GB2312"/>
          <w:sz w:val="32"/>
          <w:szCs w:val="32"/>
          <w:highlight w:val="none"/>
        </w:rPr>
        <w:fldChar w:fldCharType="end"/>
      </w:r>
    </w:p>
    <w:p w14:paraId="00CA151E">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_Toc5810</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lang w:eastAsia="zh-CN"/>
        </w:rPr>
        <w:t>八、政府性基金预算财政拨款收入支出决算情况说明</w:t>
      </w:r>
      <w:r>
        <w:rPr>
          <w:rFonts w:hint="eastAsia" w:ascii="仿宋_GB2312" w:hAnsi="仿宋_GB2312" w:eastAsia="仿宋_GB2312" w:cs="仿宋_GB2312"/>
          <w:sz w:val="32"/>
          <w:szCs w:val="32"/>
          <w:highlight w:val="none"/>
        </w:rPr>
        <w:fldChar w:fldCharType="end"/>
      </w:r>
    </w:p>
    <w:p w14:paraId="48BD1536">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_Toc5810</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lang w:eastAsia="zh-CN"/>
        </w:rPr>
        <w:t>九、国有资本经营预算财政拨款收入支出决算情况说明</w:t>
      </w:r>
      <w:r>
        <w:rPr>
          <w:rFonts w:hint="eastAsia" w:ascii="仿宋_GB2312" w:hAnsi="仿宋_GB2312" w:eastAsia="仿宋_GB2312" w:cs="仿宋_GB2312"/>
          <w:sz w:val="32"/>
          <w:szCs w:val="32"/>
          <w:highlight w:val="none"/>
        </w:rPr>
        <w:fldChar w:fldCharType="end"/>
      </w:r>
    </w:p>
    <w:p w14:paraId="6B137E0B">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_Toc1235</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lang w:eastAsia="zh-CN"/>
        </w:rPr>
        <w:t>十</w:t>
      </w:r>
      <w:r>
        <w:rPr>
          <w:rFonts w:hint="eastAsia" w:ascii="仿宋_GB2312" w:hAnsi="仿宋_GB2312" w:eastAsia="仿宋_GB2312" w:cs="仿宋_GB2312"/>
          <w:kern w:val="0"/>
          <w:sz w:val="32"/>
          <w:szCs w:val="32"/>
          <w:highlight w:val="none"/>
        </w:rPr>
        <w:t>、其他重要事项的情况</w:t>
      </w:r>
      <w:r>
        <w:rPr>
          <w:rFonts w:hint="eastAsia" w:ascii="仿宋_GB2312" w:hAnsi="仿宋_GB2312" w:eastAsia="仿宋_GB2312" w:cs="仿宋_GB2312"/>
          <w:kern w:val="0"/>
          <w:sz w:val="32"/>
          <w:szCs w:val="32"/>
          <w:highlight w:val="none"/>
          <w:lang w:eastAsia="zh-CN"/>
        </w:rPr>
        <w:t>说明</w:t>
      </w:r>
      <w:r>
        <w:rPr>
          <w:rFonts w:hint="eastAsia" w:ascii="仿宋_GB2312" w:hAnsi="仿宋_GB2312" w:eastAsia="仿宋_GB2312" w:cs="仿宋_GB2312"/>
          <w:sz w:val="32"/>
          <w:szCs w:val="32"/>
          <w:highlight w:val="none"/>
        </w:rPr>
        <w:fldChar w:fldCharType="end"/>
      </w:r>
    </w:p>
    <w:p w14:paraId="412E42ED">
      <w:pPr>
        <w:pStyle w:val="3"/>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_Toc14519</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lang w:eastAsia="zh-CN"/>
        </w:rPr>
        <w:t>（一）</w:t>
      </w:r>
      <w:r>
        <w:rPr>
          <w:rFonts w:hint="eastAsia" w:ascii="仿宋_GB2312" w:hAnsi="仿宋_GB2312" w:eastAsia="仿宋_GB2312" w:cs="仿宋_GB2312"/>
          <w:sz w:val="32"/>
          <w:szCs w:val="32"/>
          <w:highlight w:val="none"/>
        </w:rPr>
        <w:t>机关运行经费支出情况</w:t>
      </w:r>
      <w:r>
        <w:rPr>
          <w:rFonts w:hint="eastAsia" w:ascii="仿宋_GB2312" w:hAnsi="仿宋_GB2312" w:eastAsia="仿宋_GB2312" w:cs="仿宋_GB2312"/>
          <w:sz w:val="32"/>
          <w:szCs w:val="32"/>
          <w:highlight w:val="none"/>
        </w:rPr>
        <w:fldChar w:fldCharType="end"/>
      </w:r>
    </w:p>
    <w:p w14:paraId="5AE953F3">
      <w:pPr>
        <w:pStyle w:val="3"/>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_Toc227</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lang w:eastAsia="zh-CN"/>
        </w:rPr>
        <w:t>（二）政府采购情况</w:t>
      </w:r>
      <w:r>
        <w:rPr>
          <w:rFonts w:hint="eastAsia" w:ascii="仿宋_GB2312" w:hAnsi="仿宋_GB2312" w:eastAsia="仿宋_GB2312" w:cs="仿宋_GB2312"/>
          <w:sz w:val="32"/>
          <w:szCs w:val="32"/>
          <w:highlight w:val="none"/>
        </w:rPr>
        <w:fldChar w:fldCharType="end"/>
      </w:r>
    </w:p>
    <w:p w14:paraId="2B882C7C">
      <w:pPr>
        <w:pStyle w:val="3"/>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_Toc8391</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lang w:eastAsia="zh-CN"/>
        </w:rPr>
        <w:t>（三）国有资产占用情况说明</w:t>
      </w:r>
      <w:r>
        <w:rPr>
          <w:rFonts w:hint="eastAsia" w:ascii="仿宋_GB2312" w:hAnsi="仿宋_GB2312" w:eastAsia="仿宋_GB2312" w:cs="仿宋_GB2312"/>
          <w:sz w:val="32"/>
          <w:szCs w:val="32"/>
          <w:highlight w:val="none"/>
        </w:rPr>
        <w:fldChar w:fldCharType="end"/>
      </w:r>
    </w:p>
    <w:p w14:paraId="1BCD8084">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_Toc11283</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lang w:eastAsia="zh-CN"/>
        </w:rPr>
        <w:t>十一、预算绩效的情况说明</w:t>
      </w:r>
      <w:r>
        <w:rPr>
          <w:rFonts w:hint="eastAsia" w:ascii="仿宋_GB2312" w:hAnsi="仿宋_GB2312" w:eastAsia="仿宋_GB2312" w:cs="仿宋_GB2312"/>
          <w:sz w:val="32"/>
          <w:szCs w:val="32"/>
          <w:highlight w:val="none"/>
        </w:rPr>
        <w:fldChar w:fldCharType="end"/>
      </w:r>
    </w:p>
    <w:p w14:paraId="2C9672F3">
      <w:pPr>
        <w:pStyle w:val="5"/>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highlight w:val="none"/>
        </w:rPr>
        <w:fldChar w:fldCharType="begin"/>
      </w:r>
      <w:r>
        <w:rPr>
          <w:rFonts w:hint="eastAsia" w:ascii="仿宋_GB2312" w:hAnsi="仿宋_GB2312" w:eastAsia="仿宋_GB2312" w:cs="仿宋_GB2312"/>
          <w:b/>
          <w:sz w:val="32"/>
          <w:szCs w:val="32"/>
          <w:highlight w:val="none"/>
        </w:rPr>
        <w:instrText xml:space="preserve"> HYPERLINK \l _Toc3250</w:instrText>
      </w:r>
      <w:r>
        <w:rPr>
          <w:rFonts w:hint="eastAsia" w:ascii="仿宋_GB2312" w:hAnsi="仿宋_GB2312" w:eastAsia="仿宋_GB2312" w:cs="仿宋_GB2312"/>
          <w:b/>
          <w:sz w:val="32"/>
          <w:szCs w:val="32"/>
          <w:highlight w:val="none"/>
        </w:rPr>
        <w:fldChar w:fldCharType="separate"/>
      </w:r>
      <w:r>
        <w:rPr>
          <w:rFonts w:hint="eastAsia" w:ascii="仿宋_GB2312" w:hAnsi="仿宋_GB2312" w:eastAsia="仿宋_GB2312" w:cs="仿宋_GB2312"/>
          <w:b/>
          <w:sz w:val="32"/>
          <w:szCs w:val="32"/>
          <w:highlight w:val="none"/>
        </w:rPr>
        <w:t>第三部分 专业名词解释</w:t>
      </w:r>
      <w:r>
        <w:rPr>
          <w:rFonts w:hint="eastAsia" w:ascii="仿宋_GB2312" w:hAnsi="仿宋_GB2312" w:eastAsia="仿宋_GB2312" w:cs="仿宋_GB2312"/>
          <w:b/>
          <w:sz w:val="32"/>
          <w:szCs w:val="32"/>
          <w:highlight w:val="none"/>
        </w:rPr>
        <w:fldChar w:fldCharType="end"/>
      </w:r>
    </w:p>
    <w:p w14:paraId="69D5F28A">
      <w:pPr>
        <w:pStyle w:val="5"/>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highlight w:val="none"/>
        </w:rPr>
        <w:fldChar w:fldCharType="begin"/>
      </w:r>
      <w:r>
        <w:rPr>
          <w:rFonts w:hint="eastAsia" w:ascii="仿宋_GB2312" w:hAnsi="仿宋_GB2312" w:eastAsia="仿宋_GB2312" w:cs="仿宋_GB2312"/>
          <w:b/>
          <w:sz w:val="32"/>
          <w:szCs w:val="32"/>
          <w:highlight w:val="none"/>
        </w:rPr>
        <w:instrText xml:space="preserve"> HYPERLINK \l _Toc22784</w:instrText>
      </w:r>
      <w:r>
        <w:rPr>
          <w:rFonts w:hint="eastAsia" w:ascii="仿宋_GB2312" w:hAnsi="仿宋_GB2312" w:eastAsia="仿宋_GB2312" w:cs="仿宋_GB2312"/>
          <w:b/>
          <w:sz w:val="32"/>
          <w:szCs w:val="32"/>
          <w:highlight w:val="none"/>
        </w:rPr>
        <w:fldChar w:fldCharType="separate"/>
      </w:r>
      <w:r>
        <w:rPr>
          <w:rFonts w:hint="eastAsia" w:ascii="仿宋_GB2312" w:hAnsi="仿宋_GB2312" w:eastAsia="仿宋_GB2312" w:cs="仿宋_GB2312"/>
          <w:b/>
          <w:sz w:val="32"/>
          <w:szCs w:val="32"/>
          <w:highlight w:val="none"/>
        </w:rPr>
        <w:t>第四部分 部门决算报表（见附表）</w:t>
      </w:r>
      <w:r>
        <w:rPr>
          <w:rFonts w:hint="eastAsia" w:ascii="仿宋_GB2312" w:hAnsi="仿宋_GB2312" w:eastAsia="仿宋_GB2312" w:cs="仿宋_GB2312"/>
          <w:b/>
          <w:sz w:val="32"/>
          <w:szCs w:val="32"/>
          <w:highlight w:val="none"/>
        </w:rPr>
        <w:fldChar w:fldCharType="end"/>
      </w:r>
    </w:p>
    <w:p w14:paraId="45485CE2">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_Toc2183</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rPr>
        <w:t>一、《收入支出决算总表》</w:t>
      </w:r>
      <w:r>
        <w:rPr>
          <w:rFonts w:hint="eastAsia" w:ascii="仿宋_GB2312" w:hAnsi="仿宋_GB2312" w:eastAsia="仿宋_GB2312" w:cs="仿宋_GB2312"/>
          <w:sz w:val="32"/>
          <w:szCs w:val="32"/>
          <w:highlight w:val="none"/>
        </w:rPr>
        <w:fldChar w:fldCharType="end"/>
      </w:r>
    </w:p>
    <w:p w14:paraId="5569CC2A">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_Toc24532</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rPr>
        <w:t>二、《收入决算表》</w:t>
      </w:r>
      <w:r>
        <w:rPr>
          <w:rFonts w:hint="eastAsia" w:ascii="仿宋_GB2312" w:hAnsi="仿宋_GB2312" w:eastAsia="仿宋_GB2312" w:cs="仿宋_GB2312"/>
          <w:sz w:val="32"/>
          <w:szCs w:val="32"/>
          <w:highlight w:val="none"/>
        </w:rPr>
        <w:fldChar w:fldCharType="end"/>
      </w:r>
    </w:p>
    <w:p w14:paraId="3EAEA487">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_Toc32434</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rPr>
        <w:t>三、《支出决算表》</w:t>
      </w:r>
      <w:r>
        <w:rPr>
          <w:rFonts w:hint="eastAsia" w:ascii="仿宋_GB2312" w:hAnsi="仿宋_GB2312" w:eastAsia="仿宋_GB2312" w:cs="仿宋_GB2312"/>
          <w:sz w:val="32"/>
          <w:szCs w:val="32"/>
          <w:highlight w:val="none"/>
        </w:rPr>
        <w:fldChar w:fldCharType="end"/>
      </w:r>
    </w:p>
    <w:p w14:paraId="4AAE06A8">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_Toc28786</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rPr>
        <w:t>四、《财政拨款收入支出决算总表》</w:t>
      </w:r>
      <w:r>
        <w:rPr>
          <w:rFonts w:hint="eastAsia" w:ascii="仿宋_GB2312" w:hAnsi="仿宋_GB2312" w:eastAsia="仿宋_GB2312" w:cs="仿宋_GB2312"/>
          <w:sz w:val="32"/>
          <w:szCs w:val="32"/>
          <w:highlight w:val="none"/>
        </w:rPr>
        <w:fldChar w:fldCharType="end"/>
      </w:r>
    </w:p>
    <w:p w14:paraId="4379C6C6">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_Toc14869</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rPr>
        <w:t>五、《一般公共预算财政拨款支出决算表》</w:t>
      </w:r>
      <w:r>
        <w:rPr>
          <w:rFonts w:hint="eastAsia" w:ascii="仿宋_GB2312" w:hAnsi="仿宋_GB2312" w:eastAsia="仿宋_GB2312" w:cs="仿宋_GB2312"/>
          <w:sz w:val="32"/>
          <w:szCs w:val="32"/>
          <w:highlight w:val="none"/>
        </w:rPr>
        <w:fldChar w:fldCharType="end"/>
      </w:r>
    </w:p>
    <w:p w14:paraId="32AF3408">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_Toc8884</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rPr>
        <w:t>六、《一般公共预算财政拨款基本支出决算表》</w:t>
      </w:r>
      <w:r>
        <w:rPr>
          <w:rFonts w:hint="eastAsia" w:ascii="仿宋_GB2312" w:hAnsi="仿宋_GB2312" w:eastAsia="仿宋_GB2312" w:cs="仿宋_GB2312"/>
          <w:sz w:val="32"/>
          <w:szCs w:val="32"/>
          <w:highlight w:val="none"/>
        </w:rPr>
        <w:fldChar w:fldCharType="end"/>
      </w:r>
    </w:p>
    <w:p w14:paraId="2D77DE4A">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_Toc29106</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rPr>
        <w:t>七、《财政拨款“三公”经费支出决算表》</w:t>
      </w:r>
      <w:r>
        <w:rPr>
          <w:rFonts w:hint="eastAsia" w:ascii="仿宋_GB2312" w:hAnsi="仿宋_GB2312" w:eastAsia="仿宋_GB2312" w:cs="仿宋_GB2312"/>
          <w:sz w:val="32"/>
          <w:szCs w:val="32"/>
          <w:highlight w:val="none"/>
        </w:rPr>
        <w:fldChar w:fldCharType="end"/>
      </w:r>
    </w:p>
    <w:p w14:paraId="7C036882">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_Toc7643</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rPr>
        <w:t>八、《政府性基金预算财政拨款收入支出决算表》</w:t>
      </w:r>
      <w:r>
        <w:rPr>
          <w:rFonts w:hint="eastAsia" w:ascii="仿宋_GB2312" w:hAnsi="仿宋_GB2312" w:eastAsia="仿宋_GB2312" w:cs="仿宋_GB2312"/>
          <w:sz w:val="32"/>
          <w:szCs w:val="32"/>
          <w:highlight w:val="none"/>
        </w:rPr>
        <w:fldChar w:fldCharType="end"/>
      </w:r>
    </w:p>
    <w:p w14:paraId="751F24E4">
      <w:pPr>
        <w:pStyle w:val="6"/>
        <w:keepNext w:val="0"/>
        <w:keepLines w:val="0"/>
        <w:pageBreakBefore w:val="0"/>
        <w:widowControl w:val="0"/>
        <w:tabs>
          <w:tab w:val="right" w:pos="8306"/>
        </w:tabs>
        <w:kinsoku/>
        <w:wordWrap/>
        <w:overflowPunct/>
        <w:topLinePunct w:val="0"/>
        <w:autoSpaceDE/>
        <w:autoSpaceDN/>
        <w:adjustRightInd/>
        <w:snapToGrid/>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_Toc7643</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0"/>
          <w:sz w:val="32"/>
          <w:szCs w:val="32"/>
          <w:highlight w:val="none"/>
        </w:rPr>
        <w:t>九、《国有资本经营预算财政拨款收入支出决算表》</w:t>
      </w:r>
      <w:r>
        <w:rPr>
          <w:rFonts w:hint="eastAsia" w:ascii="仿宋_GB2312" w:hAnsi="仿宋_GB2312" w:eastAsia="仿宋_GB2312" w:cs="仿宋_GB2312"/>
          <w:sz w:val="32"/>
          <w:szCs w:val="32"/>
          <w:highlight w:val="none"/>
        </w:rPr>
        <w:fldChar w:fldCharType="end"/>
      </w:r>
    </w:p>
    <w:p w14:paraId="1EBE4DCA">
      <w:pPr>
        <w:keepNext w:val="0"/>
        <w:keepLines w:val="0"/>
        <w:pageBreakBefore w:val="0"/>
        <w:widowControl w:val="0"/>
        <w:kinsoku/>
        <w:wordWrap/>
        <w:overflowPunct/>
        <w:topLinePunct w:val="0"/>
        <w:autoSpaceDE/>
        <w:autoSpaceDN/>
        <w:adjustRightInd/>
        <w:snapToGrid/>
        <w:ind w:left="0" w:leftChars="0"/>
        <w:jc w:val="both"/>
        <w:textAlignment w:val="auto"/>
        <w:rPr>
          <w:highlight w:val="none"/>
        </w:rPr>
      </w:pPr>
      <w:r>
        <w:rPr>
          <w:rFonts w:hint="eastAsia" w:ascii="仿宋_GB2312" w:hAnsi="仿宋_GB2312" w:eastAsia="仿宋_GB2312" w:cs="仿宋_GB2312"/>
          <w:sz w:val="32"/>
          <w:szCs w:val="32"/>
          <w:highlight w:val="none"/>
        </w:rPr>
        <w:fldChar w:fldCharType="end"/>
      </w:r>
    </w:p>
    <w:p w14:paraId="42322610">
      <w:pPr>
        <w:keepNext w:val="0"/>
        <w:keepLines w:val="0"/>
        <w:pageBreakBefore w:val="0"/>
        <w:widowControl w:val="0"/>
        <w:kinsoku/>
        <w:wordWrap/>
        <w:overflowPunct/>
        <w:topLinePunct w:val="0"/>
        <w:autoSpaceDE/>
        <w:autoSpaceDN/>
        <w:adjustRightInd/>
        <w:snapToGrid/>
        <w:spacing w:line="240" w:lineRule="auto"/>
        <w:ind w:firstLine="640" w:firstLineChars="200"/>
        <w:jc w:val="center"/>
        <w:textAlignment w:val="auto"/>
        <w:outlineLvl w:val="0"/>
        <w:rPr>
          <w:rFonts w:hint="eastAsia" w:ascii="黑体" w:hAnsi="黑体" w:eastAsia="黑体"/>
          <w:sz w:val="32"/>
          <w:szCs w:val="32"/>
          <w:highlight w:val="none"/>
        </w:rPr>
      </w:pPr>
      <w:r>
        <w:rPr>
          <w:rFonts w:hint="eastAsia" w:ascii="仿宋_GB2312" w:eastAsia="仿宋_GB2312"/>
          <w:sz w:val="32"/>
          <w:szCs w:val="32"/>
          <w:highlight w:val="none"/>
        </w:rPr>
        <w:br w:type="page"/>
      </w:r>
      <w:bookmarkStart w:id="0" w:name="_Toc32314"/>
      <w:bookmarkStart w:id="1" w:name="_Toc24028"/>
      <w:r>
        <w:rPr>
          <w:rFonts w:hint="eastAsia" w:ascii="黑体" w:hAnsi="黑体" w:eastAsia="黑体"/>
          <w:sz w:val="32"/>
          <w:szCs w:val="32"/>
          <w:highlight w:val="none"/>
        </w:rPr>
        <w:t>第一部分 单位概况</w:t>
      </w:r>
      <w:bookmarkEnd w:id="0"/>
      <w:bookmarkEnd w:id="1"/>
    </w:p>
    <w:p w14:paraId="7584D727">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rPr>
      </w:pPr>
      <w:bookmarkStart w:id="2" w:name="_Toc30738"/>
      <w:bookmarkStart w:id="3" w:name="_Toc30567"/>
      <w:r>
        <w:rPr>
          <w:rFonts w:hint="eastAsia" w:ascii="黑体" w:hAnsi="黑体" w:eastAsia="黑体" w:cs="宋体"/>
          <w:kern w:val="0"/>
          <w:sz w:val="32"/>
          <w:szCs w:val="32"/>
          <w:highlight w:val="none"/>
        </w:rPr>
        <w:t>一、主要职能</w:t>
      </w:r>
      <w:bookmarkEnd w:id="2"/>
      <w:bookmarkEnd w:id="3"/>
    </w:p>
    <w:p w14:paraId="7D0DF8FA">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仿宋_GB2312" w:eastAsia="仿宋_GB2312"/>
          <w:sz w:val="32"/>
          <w:szCs w:val="32"/>
          <w:highlight w:val="none"/>
        </w:rPr>
      </w:pPr>
      <w:r>
        <w:rPr>
          <w:rFonts w:hint="eastAsia" w:ascii="仿宋_GB2312" w:eastAsia="仿宋_GB2312"/>
          <w:sz w:val="32"/>
          <w:szCs w:val="32"/>
          <w:highlight w:val="none"/>
        </w:rPr>
        <w:t>（1）宣传和贯彻落实《中华人民共和国红十字会法》、《中国红十字会章程》《中华人民共和国红十字标志使用办法》和《新疆维吾尔自治区实施《中华人民共和国红十字会法》办法》，指导和协调全地区各级红十字会开展各项工作。</w:t>
      </w:r>
    </w:p>
    <w:p w14:paraId="5DE05B04">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仿宋_GB2312" w:eastAsia="仿宋_GB2312"/>
          <w:sz w:val="32"/>
          <w:szCs w:val="32"/>
          <w:highlight w:val="none"/>
        </w:rPr>
      </w:pPr>
      <w:r>
        <w:rPr>
          <w:rFonts w:hint="eastAsia" w:ascii="仿宋_GB2312" w:eastAsia="仿宋_GB2312"/>
          <w:sz w:val="32"/>
          <w:szCs w:val="32"/>
          <w:highlight w:val="none"/>
        </w:rPr>
        <w:t>（2）开展救灾准备工作；在自然灾害和突发事件中对伤病人员和其他受灾者进行救助，参加国内外的人道主义救助工作。</w:t>
      </w:r>
    </w:p>
    <w:p w14:paraId="4809901D">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仿宋_GB2312" w:eastAsia="仿宋_GB2312"/>
          <w:sz w:val="32"/>
          <w:szCs w:val="32"/>
          <w:highlight w:val="none"/>
        </w:rPr>
      </w:pPr>
      <w:r>
        <w:rPr>
          <w:rFonts w:hint="eastAsia" w:ascii="仿宋_GB2312" w:eastAsia="仿宋_GB2312"/>
          <w:sz w:val="32"/>
          <w:szCs w:val="32"/>
          <w:highlight w:val="none"/>
        </w:rPr>
        <w:t>（3）开展人道主义领域内的社区服务和社会公益活动；组织开展群众性初级卫生救护训练和现场急救工作。</w:t>
      </w:r>
    </w:p>
    <w:p w14:paraId="74B40A43">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仿宋_GB2312" w:eastAsia="仿宋_GB2312"/>
          <w:sz w:val="32"/>
          <w:szCs w:val="32"/>
          <w:highlight w:val="none"/>
        </w:rPr>
      </w:pPr>
      <w:r>
        <w:rPr>
          <w:rFonts w:hint="eastAsia" w:ascii="仿宋_GB2312" w:eastAsia="仿宋_GB2312"/>
          <w:sz w:val="32"/>
          <w:szCs w:val="32"/>
          <w:highlight w:val="none"/>
        </w:rPr>
        <w:t>（4）在中国红十字会总会和自治区红十字会的指导下，开展与国际红十字会组织的友好交流与合作；宣传国际红十字与红新月运动的基本原则和日内瓦公约及其附加议定书，并依照有关规定开展工作。</w:t>
      </w:r>
    </w:p>
    <w:p w14:paraId="75556487">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仿宋_GB2312" w:eastAsia="仿宋_GB2312"/>
          <w:sz w:val="32"/>
          <w:szCs w:val="32"/>
          <w:highlight w:val="none"/>
        </w:rPr>
      </w:pPr>
      <w:r>
        <w:rPr>
          <w:rFonts w:hint="eastAsia" w:ascii="仿宋_GB2312" w:eastAsia="仿宋_GB2312"/>
          <w:sz w:val="32"/>
          <w:szCs w:val="32"/>
          <w:highlight w:val="none"/>
        </w:rPr>
        <w:t>（5）开展有益于青少年身心健康的、弘扬人道主义精神的红十字青少年活动。</w:t>
      </w:r>
    </w:p>
    <w:p w14:paraId="1961438B">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仿宋_GB2312" w:eastAsia="仿宋_GB2312"/>
          <w:sz w:val="32"/>
          <w:szCs w:val="32"/>
          <w:highlight w:val="none"/>
        </w:rPr>
      </w:pPr>
      <w:r>
        <w:rPr>
          <w:rFonts w:hint="eastAsia" w:ascii="仿宋_GB2312" w:eastAsia="仿宋_GB2312"/>
          <w:sz w:val="32"/>
          <w:szCs w:val="32"/>
          <w:highlight w:val="none"/>
        </w:rPr>
        <w:t>（6）依据《中华人民共和国红十字会法》和《中华人民共和国献血法》的规定，推动无偿献血工作，参与“中华造血干细胞捐献者资料库新疆分库”建设。</w:t>
      </w:r>
    </w:p>
    <w:p w14:paraId="26BDAD02">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仿宋_GB2312" w:eastAsia="仿宋_GB2312"/>
          <w:sz w:val="32"/>
          <w:szCs w:val="32"/>
          <w:highlight w:val="none"/>
        </w:rPr>
      </w:pPr>
      <w:r>
        <w:rPr>
          <w:rFonts w:hint="eastAsia" w:ascii="仿宋_GB2312" w:eastAsia="仿宋_GB2312"/>
          <w:sz w:val="32"/>
          <w:szCs w:val="32"/>
          <w:highlight w:val="none"/>
        </w:rPr>
        <w:t>（7）组织会员、志愿者开展艾滋病预防宣传活动。</w:t>
      </w:r>
    </w:p>
    <w:p w14:paraId="1525D226">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仿宋_GB2312" w:eastAsia="仿宋_GB2312"/>
          <w:sz w:val="32"/>
          <w:szCs w:val="32"/>
          <w:highlight w:val="none"/>
        </w:rPr>
      </w:pPr>
      <w:r>
        <w:rPr>
          <w:rFonts w:hint="eastAsia" w:ascii="仿宋_GB2312" w:eastAsia="仿宋_GB2312"/>
          <w:sz w:val="32"/>
          <w:szCs w:val="32"/>
          <w:highlight w:val="none"/>
        </w:rPr>
        <w:t>（8）完成行署交办和委托的其他工作。</w:t>
      </w:r>
    </w:p>
    <w:p w14:paraId="5C705725">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rPr>
      </w:pPr>
      <w:bookmarkStart w:id="4" w:name="_Toc31238"/>
      <w:bookmarkStart w:id="5" w:name="_Toc2151"/>
      <w:r>
        <w:rPr>
          <w:rFonts w:hint="eastAsia" w:ascii="黑体" w:hAnsi="黑体" w:eastAsia="黑体" w:cs="宋体"/>
          <w:kern w:val="0"/>
          <w:sz w:val="32"/>
          <w:szCs w:val="32"/>
          <w:highlight w:val="none"/>
        </w:rPr>
        <w:t>二、机构设置</w:t>
      </w:r>
      <w:r>
        <w:rPr>
          <w:rFonts w:hint="eastAsia" w:ascii="黑体" w:hAnsi="黑体" w:eastAsia="黑体" w:cs="宋体"/>
          <w:kern w:val="0"/>
          <w:sz w:val="32"/>
          <w:szCs w:val="32"/>
          <w:highlight w:val="none"/>
          <w:lang w:eastAsia="zh-CN"/>
        </w:rPr>
        <w:t>及</w:t>
      </w:r>
      <w:bookmarkEnd w:id="4"/>
      <w:r>
        <w:rPr>
          <w:rFonts w:hint="eastAsia" w:ascii="黑体" w:hAnsi="黑体" w:eastAsia="黑体" w:cs="宋体"/>
          <w:kern w:val="0"/>
          <w:sz w:val="32"/>
          <w:szCs w:val="32"/>
          <w:highlight w:val="none"/>
          <w:lang w:eastAsia="zh-CN"/>
        </w:rPr>
        <w:t>人员</w:t>
      </w:r>
      <w:r>
        <w:rPr>
          <w:rFonts w:hint="eastAsia" w:ascii="黑体" w:hAnsi="黑体" w:eastAsia="黑体" w:cs="宋体"/>
          <w:kern w:val="0"/>
          <w:sz w:val="32"/>
          <w:szCs w:val="32"/>
          <w:highlight w:val="none"/>
        </w:rPr>
        <w:t>情况</w:t>
      </w:r>
      <w:bookmarkEnd w:id="5"/>
    </w:p>
    <w:p w14:paraId="315C5C58">
      <w:pPr>
        <w:keepNext w:val="0"/>
        <w:keepLines w:val="0"/>
        <w:pageBreakBefore w:val="0"/>
        <w:widowControl w:val="0"/>
        <w:kinsoku/>
        <w:wordWrap/>
        <w:overflowPunct/>
        <w:topLinePunct w:val="0"/>
        <w:adjustRightInd/>
        <w:snapToGrid/>
        <w:spacing w:line="240" w:lineRule="auto"/>
        <w:ind w:firstLine="640" w:firstLineChars="200"/>
        <w:jc w:val="both"/>
        <w:textAlignment w:val="auto"/>
        <w:rPr>
          <w:rFonts w:hint="eastAsia" w:ascii="仿宋_GB2312" w:eastAsia="仿宋_GB2312"/>
          <w:sz w:val="32"/>
          <w:szCs w:val="32"/>
          <w:highlight w:val="none"/>
        </w:rPr>
      </w:pPr>
      <w:r>
        <w:rPr>
          <w:rFonts w:hint="eastAsia" w:ascii="仿宋_GB2312" w:eastAsia="仿宋_GB2312"/>
          <w:sz w:val="32"/>
          <w:szCs w:val="32"/>
          <w:highlight w:val="none"/>
        </w:rPr>
        <w:t>新疆阿勒泰地区红十字会2022年度，实有人数13人，其中：在职人员8人，离休人员0人，退休人员5人。</w:t>
      </w:r>
    </w:p>
    <w:p w14:paraId="3A53A7BB">
      <w:pPr>
        <w:keepNext w:val="0"/>
        <w:keepLines w:val="0"/>
        <w:pageBreakBefore w:val="0"/>
        <w:widowControl w:val="0"/>
        <w:kinsoku/>
        <w:wordWrap/>
        <w:overflowPunct/>
        <w:topLinePunct w:val="0"/>
        <w:adjustRightInd/>
        <w:snapToGrid/>
        <w:spacing w:line="240" w:lineRule="auto"/>
        <w:ind w:firstLine="640" w:firstLineChars="200"/>
        <w:jc w:val="both"/>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eastAsia="zh-CN"/>
        </w:rPr>
        <w:t>从部门决算单位构成看，新疆阿勒泰地区红十字会部门决算包括：新疆阿勒泰地区红十字会决算。单位无下属预算单位，下设1个处室，分别是：办公室。</w:t>
      </w:r>
    </w:p>
    <w:p w14:paraId="532C936F">
      <w:pPr>
        <w:keepNext w:val="0"/>
        <w:keepLines w:val="0"/>
        <w:pageBreakBefore w:val="0"/>
        <w:widowControl w:val="0"/>
        <w:kinsoku/>
        <w:wordWrap/>
        <w:overflowPunct/>
        <w:topLinePunct w:val="0"/>
        <w:autoSpaceDE/>
        <w:autoSpaceDN/>
        <w:adjustRightInd/>
        <w:snapToGrid/>
        <w:spacing w:line="240" w:lineRule="auto"/>
        <w:ind w:firstLine="562" w:firstLineChars="200"/>
        <w:jc w:val="center"/>
        <w:textAlignment w:val="auto"/>
        <w:outlineLvl w:val="0"/>
        <w:rPr>
          <w:rFonts w:hint="eastAsia" w:ascii="黑体" w:hAnsi="黑体" w:eastAsia="黑体"/>
          <w:sz w:val="32"/>
          <w:szCs w:val="32"/>
          <w:highlight w:val="none"/>
        </w:rPr>
      </w:pPr>
      <w:bookmarkStart w:id="6" w:name="_Toc3092"/>
      <w:bookmarkStart w:id="7" w:name="_Toc29374"/>
      <w:r>
        <w:rPr>
          <w:rFonts w:hint="default" w:ascii="黑体"/>
          <w:b/>
          <w:kern w:val="44"/>
          <w:sz w:val="28"/>
        </w:rPr>
        <w:br w:type="page"/>
      </w:r>
      <w:r>
        <w:rPr>
          <w:rFonts w:hint="default" w:ascii="黑体"/>
          <w:b/>
          <w:spacing w:val="40"/>
          <w:sz w:val="28"/>
        </w:rPr>
        <w:t xml:space="preserve"> </w:t>
      </w:r>
      <w:r>
        <w:rPr>
          <w:rFonts w:hint="eastAsia" w:ascii="黑体" w:hAnsi="黑体" w:eastAsia="黑体"/>
          <w:sz w:val="32"/>
          <w:szCs w:val="32"/>
          <w:highlight w:val="none"/>
        </w:rPr>
        <w:t>第二部分 部门决算情况说明</w:t>
      </w:r>
      <w:bookmarkEnd w:id="6"/>
      <w:bookmarkEnd w:id="7"/>
    </w:p>
    <w:p w14:paraId="0A898A4A">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rPr>
      </w:pPr>
      <w:bookmarkStart w:id="8" w:name="_Toc25314"/>
      <w:bookmarkStart w:id="9" w:name="_Toc12566"/>
      <w:r>
        <w:rPr>
          <w:rFonts w:hint="eastAsia" w:ascii="黑体" w:hAnsi="黑体" w:eastAsia="黑体" w:cs="宋体"/>
          <w:kern w:val="0"/>
          <w:sz w:val="32"/>
          <w:szCs w:val="32"/>
          <w:highlight w:val="none"/>
        </w:rPr>
        <w:t>一、收入支出决算总体情况说明</w:t>
      </w:r>
      <w:bookmarkEnd w:id="8"/>
      <w:bookmarkEnd w:id="9"/>
    </w:p>
    <w:p w14:paraId="49AAF27A">
      <w:pPr>
        <w:keepNext w:val="0"/>
        <w:keepLines w:val="0"/>
        <w:pageBreakBefore w:val="0"/>
        <w:widowControl w:val="0"/>
        <w:kinsoku/>
        <w:wordWrap/>
        <w:overflowPunct/>
        <w:topLinePunct w:val="0"/>
        <w:autoSpaceDE/>
        <w:autoSpaceDN/>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pacing w:val="0"/>
          <w:sz w:val="32"/>
          <w:szCs w:val="32"/>
          <w:highlight w:val="none"/>
        </w:rPr>
        <w:t>2022</w:t>
      </w:r>
      <w:r>
        <w:rPr>
          <w:rFonts w:hint="eastAsia" w:ascii="仿宋_GB2312" w:eastAsia="仿宋_GB2312"/>
          <w:spacing w:val="0"/>
          <w:sz w:val="32"/>
          <w:szCs w:val="32"/>
          <w:highlight w:val="none"/>
          <w:lang w:eastAsia="zh-CN"/>
        </w:rPr>
        <w:t>年度</w:t>
      </w:r>
      <w:r>
        <w:rPr>
          <w:rFonts w:hint="eastAsia" w:ascii="仿宋_GB2312" w:eastAsia="仿宋_GB2312"/>
          <w:sz w:val="32"/>
          <w:szCs w:val="32"/>
          <w:highlight w:val="none"/>
        </w:rPr>
        <w:t>收入总计168.56万元</w:t>
      </w:r>
      <w:r>
        <w:rPr>
          <w:rFonts w:hint="eastAsia" w:ascii="仿宋_GB2312" w:eastAsia="仿宋_GB2312"/>
          <w:sz w:val="32"/>
          <w:szCs w:val="32"/>
          <w:highlight w:val="none"/>
          <w:lang w:eastAsia="zh-CN"/>
        </w:rPr>
        <w:t>，其中：本年收入合计168.56万元，使用非财政拨款结余0.00万元，年初结转和结余0.00万元。</w:t>
      </w:r>
      <w:r>
        <w:rPr>
          <w:rFonts w:hint="eastAsia" w:ascii="仿宋_GB2312" w:eastAsia="仿宋_GB2312"/>
          <w:sz w:val="32"/>
          <w:szCs w:val="32"/>
          <w:highlight w:val="none"/>
        </w:rPr>
        <w:t>收入总计与上年相比</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增加34.60万元，增长25.83%</w:t>
      </w:r>
      <w:r>
        <w:rPr>
          <w:rFonts w:hint="eastAsia" w:ascii="仿宋_GB2312" w:eastAsia="仿宋_GB2312"/>
          <w:sz w:val="32"/>
          <w:szCs w:val="32"/>
          <w:highlight w:val="none"/>
          <w:lang w:eastAsia="zh-CN"/>
        </w:rPr>
        <w:t>，主要原因是</w:t>
      </w:r>
      <w:r>
        <w:rPr>
          <w:rFonts w:hint="eastAsia" w:ascii="仿宋_GB2312" w:eastAsia="仿宋_GB2312"/>
          <w:sz w:val="32"/>
          <w:szCs w:val="32"/>
          <w:highlight w:val="none"/>
        </w:rPr>
        <w:t>：2022年人员经费增加，</w:t>
      </w:r>
      <w:r>
        <w:rPr>
          <w:rFonts w:hint="eastAsia" w:ascii="仿宋_GB2312" w:eastAsia="仿宋_GB2312"/>
          <w:sz w:val="32"/>
          <w:szCs w:val="32"/>
          <w:highlight w:val="none"/>
          <w:lang w:eastAsia="zh-CN"/>
        </w:rPr>
        <w:t>本年绩效改革</w:t>
      </w:r>
      <w:r>
        <w:rPr>
          <w:rFonts w:hint="eastAsia" w:ascii="仿宋_GB2312" w:eastAsia="仿宋_GB2312"/>
          <w:sz w:val="32"/>
          <w:szCs w:val="32"/>
          <w:highlight w:val="none"/>
        </w:rPr>
        <w:t>、基本工资调增、每年正常调资等。</w:t>
      </w:r>
    </w:p>
    <w:p w14:paraId="1BE2F5F5">
      <w:pPr>
        <w:keepNext w:val="0"/>
        <w:keepLines w:val="0"/>
        <w:pageBreakBefore w:val="0"/>
        <w:widowControl w:val="0"/>
        <w:kinsoku/>
        <w:wordWrap/>
        <w:overflowPunct/>
        <w:topLinePunct w:val="0"/>
        <w:autoSpaceDE/>
        <w:autoSpaceDN/>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pacing w:val="0"/>
          <w:sz w:val="32"/>
          <w:szCs w:val="32"/>
          <w:highlight w:val="none"/>
        </w:rPr>
        <w:t>本年支出总计168.56万元</w:t>
      </w:r>
      <w:r>
        <w:rPr>
          <w:rFonts w:hint="eastAsia" w:ascii="仿宋_GB2312" w:eastAsia="仿宋_GB2312"/>
          <w:sz w:val="32"/>
          <w:szCs w:val="32"/>
          <w:highlight w:val="none"/>
          <w:lang w:eastAsia="zh-CN"/>
        </w:rPr>
        <w:t>，其中：本年支出合计168.56万元，结余分配0.00万元，年末结转和结余0.00万元。</w:t>
      </w:r>
      <w:r>
        <w:rPr>
          <w:rFonts w:hint="eastAsia" w:ascii="仿宋_GB2312" w:eastAsia="仿宋_GB2312"/>
          <w:sz w:val="32"/>
          <w:szCs w:val="32"/>
          <w:highlight w:val="none"/>
        </w:rPr>
        <w:t>支出总计与上年相比</w:t>
      </w:r>
      <w:r>
        <w:rPr>
          <w:rFonts w:hint="eastAsia" w:ascii="仿宋_GB2312" w:eastAsia="仿宋_GB2312"/>
          <w:sz w:val="32"/>
          <w:szCs w:val="32"/>
          <w:highlight w:val="none"/>
          <w:lang w:eastAsia="zh-CN"/>
        </w:rPr>
        <w:t>，增加34.60万元，增长25.83%，主要原因是</w:t>
      </w:r>
      <w:r>
        <w:rPr>
          <w:rFonts w:hint="eastAsia" w:ascii="仿宋_GB2312" w:eastAsia="仿宋_GB2312"/>
          <w:sz w:val="32"/>
          <w:szCs w:val="32"/>
          <w:highlight w:val="none"/>
        </w:rPr>
        <w:t>：2022年人员经费增加，</w:t>
      </w:r>
      <w:r>
        <w:rPr>
          <w:rFonts w:hint="eastAsia" w:ascii="仿宋_GB2312" w:eastAsia="仿宋_GB2312"/>
          <w:sz w:val="32"/>
          <w:szCs w:val="32"/>
          <w:highlight w:val="none"/>
          <w:lang w:eastAsia="zh-CN"/>
        </w:rPr>
        <w:t>本年绩效改革</w:t>
      </w:r>
      <w:r>
        <w:rPr>
          <w:rFonts w:hint="eastAsia" w:ascii="仿宋_GB2312" w:eastAsia="仿宋_GB2312"/>
          <w:sz w:val="32"/>
          <w:szCs w:val="32"/>
          <w:highlight w:val="none"/>
        </w:rPr>
        <w:t>、基本工资调增、每年正常调资等。</w:t>
      </w:r>
    </w:p>
    <w:p w14:paraId="5FB28595">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rPr>
      </w:pPr>
      <w:bookmarkStart w:id="10" w:name="_Toc12142"/>
      <w:bookmarkStart w:id="11" w:name="_Toc1979"/>
      <w:r>
        <w:rPr>
          <w:rFonts w:hint="eastAsia" w:ascii="黑体" w:hAnsi="黑体" w:eastAsia="黑体" w:cs="宋体"/>
          <w:kern w:val="0"/>
          <w:sz w:val="32"/>
          <w:szCs w:val="32"/>
          <w:highlight w:val="none"/>
          <w:lang w:eastAsia="zh-CN"/>
        </w:rPr>
        <w:t>二、</w:t>
      </w:r>
      <w:r>
        <w:rPr>
          <w:rFonts w:hint="eastAsia" w:ascii="黑体" w:hAnsi="黑体" w:eastAsia="黑体" w:cs="宋体"/>
          <w:kern w:val="0"/>
          <w:sz w:val="32"/>
          <w:szCs w:val="32"/>
          <w:highlight w:val="none"/>
        </w:rPr>
        <w:t>收入</w:t>
      </w:r>
      <w:r>
        <w:rPr>
          <w:rFonts w:hint="eastAsia" w:ascii="黑体" w:hAnsi="黑体" w:eastAsia="黑体" w:cs="宋体"/>
          <w:kern w:val="0"/>
          <w:sz w:val="32"/>
          <w:szCs w:val="32"/>
          <w:highlight w:val="none"/>
          <w:lang w:eastAsia="zh-CN"/>
        </w:rPr>
        <w:t>决算</w:t>
      </w:r>
      <w:r>
        <w:rPr>
          <w:rFonts w:hint="eastAsia" w:ascii="黑体" w:hAnsi="黑体" w:eastAsia="黑体" w:cs="宋体"/>
          <w:kern w:val="0"/>
          <w:sz w:val="32"/>
          <w:szCs w:val="32"/>
          <w:highlight w:val="none"/>
        </w:rPr>
        <w:t>情况说明</w:t>
      </w:r>
      <w:bookmarkEnd w:id="10"/>
      <w:bookmarkEnd w:id="11"/>
    </w:p>
    <w:p w14:paraId="1F525E89">
      <w:pPr>
        <w:keepNext w:val="0"/>
        <w:keepLines w:val="0"/>
        <w:pageBreakBefore w:val="0"/>
        <w:widowControl w:val="0"/>
        <w:kinsoku/>
        <w:wordWrap/>
        <w:overflowPunct/>
        <w:topLinePunct w:val="0"/>
        <w:autoSpaceDE/>
        <w:autoSpaceDN/>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pacing w:val="0"/>
          <w:sz w:val="32"/>
          <w:szCs w:val="32"/>
          <w:highlight w:val="none"/>
        </w:rPr>
        <w:t>2022</w:t>
      </w:r>
      <w:r>
        <w:rPr>
          <w:rFonts w:hint="eastAsia" w:ascii="仿宋_GB2312" w:eastAsia="仿宋_GB2312"/>
          <w:spacing w:val="0"/>
          <w:sz w:val="32"/>
          <w:szCs w:val="32"/>
          <w:highlight w:val="none"/>
          <w:lang w:eastAsia="zh-CN"/>
        </w:rPr>
        <w:t>年度</w:t>
      </w:r>
      <w:r>
        <w:rPr>
          <w:rFonts w:hint="eastAsia" w:ascii="仿宋_GB2312" w:eastAsia="仿宋_GB2312"/>
          <w:sz w:val="32"/>
          <w:szCs w:val="32"/>
          <w:highlight w:val="none"/>
        </w:rPr>
        <w:t>本年收入168.56万元，其中：财政拨款收入164.69万元，占97.70%；上级补助收入0.00万元，占0.00%；事业收入0.00万元，占0.00%；经营收入0.00万元，占0.00%；附属单位上缴收入0.00万元，占0.00%；其他收入3.88万元，占2.30%。</w:t>
      </w:r>
    </w:p>
    <w:p w14:paraId="441AB787">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lang w:eastAsia="zh-CN"/>
        </w:rPr>
      </w:pPr>
      <w:bookmarkStart w:id="12" w:name="_Toc13201"/>
      <w:bookmarkStart w:id="13" w:name="_Toc27961"/>
      <w:r>
        <w:rPr>
          <w:rFonts w:hint="eastAsia" w:ascii="黑体" w:hAnsi="黑体" w:eastAsia="黑体" w:cs="宋体"/>
          <w:kern w:val="0"/>
          <w:sz w:val="32"/>
          <w:szCs w:val="32"/>
          <w:highlight w:val="none"/>
          <w:lang w:eastAsia="zh-CN"/>
        </w:rPr>
        <w:t>三、支出决算情况说明</w:t>
      </w:r>
      <w:bookmarkEnd w:id="12"/>
      <w:bookmarkEnd w:id="13"/>
    </w:p>
    <w:p w14:paraId="5F118FA2">
      <w:pPr>
        <w:keepNext w:val="0"/>
        <w:keepLines w:val="0"/>
        <w:pageBreakBefore w:val="0"/>
        <w:widowControl w:val="0"/>
        <w:kinsoku/>
        <w:wordWrap/>
        <w:overflowPunct/>
        <w:topLinePunct w:val="0"/>
        <w:autoSpaceDE/>
        <w:autoSpaceDN/>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pacing w:val="0"/>
          <w:sz w:val="32"/>
          <w:szCs w:val="32"/>
          <w:highlight w:val="none"/>
        </w:rPr>
        <w:t>2022</w:t>
      </w:r>
      <w:r>
        <w:rPr>
          <w:rFonts w:hint="eastAsia" w:ascii="仿宋_GB2312" w:eastAsia="仿宋_GB2312"/>
          <w:spacing w:val="0"/>
          <w:sz w:val="32"/>
          <w:szCs w:val="32"/>
          <w:highlight w:val="none"/>
          <w:lang w:eastAsia="zh-CN"/>
        </w:rPr>
        <w:t>年度</w:t>
      </w:r>
      <w:r>
        <w:rPr>
          <w:rFonts w:hint="eastAsia" w:ascii="仿宋_GB2312" w:eastAsia="仿宋_GB2312"/>
          <w:sz w:val="32"/>
          <w:szCs w:val="32"/>
          <w:highlight w:val="none"/>
        </w:rPr>
        <w:t>本年支出168.56万元，其中：基本支出168.56万元，占100.00%；项目支出0.00万元，占0.00%；上缴上级支出0.00万元，占0.00%；经营支出0.00万元，占0.00%；对附属单位补助支出0.00万元，占0.00%。</w:t>
      </w:r>
    </w:p>
    <w:p w14:paraId="32A9D960">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lang w:eastAsia="zh-CN"/>
        </w:rPr>
      </w:pPr>
      <w:bookmarkStart w:id="14" w:name="_Toc4393"/>
      <w:bookmarkStart w:id="15" w:name="_Toc26564"/>
      <w:r>
        <w:rPr>
          <w:rFonts w:hint="eastAsia" w:ascii="黑体" w:hAnsi="黑体" w:eastAsia="黑体" w:cs="宋体"/>
          <w:kern w:val="0"/>
          <w:sz w:val="32"/>
          <w:szCs w:val="32"/>
          <w:highlight w:val="none"/>
          <w:lang w:eastAsia="zh-CN"/>
        </w:rPr>
        <w:t>四、财政拨款收入支出决算总体情况说明</w:t>
      </w:r>
      <w:bookmarkEnd w:id="14"/>
      <w:bookmarkEnd w:id="15"/>
    </w:p>
    <w:p w14:paraId="12FE0A87">
      <w:pPr>
        <w:keepNext w:val="0"/>
        <w:keepLines w:val="0"/>
        <w:pageBreakBefore w:val="0"/>
        <w:widowControl w:val="0"/>
        <w:kinsoku/>
        <w:wordWrap/>
        <w:overflowPunct/>
        <w:topLinePunct w:val="0"/>
        <w:autoSpaceDE/>
        <w:autoSpaceDN/>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pacing w:val="0"/>
          <w:sz w:val="32"/>
          <w:szCs w:val="32"/>
          <w:highlight w:val="none"/>
        </w:rPr>
        <w:t>2022</w:t>
      </w:r>
      <w:r>
        <w:rPr>
          <w:rFonts w:hint="eastAsia" w:ascii="仿宋_GB2312" w:eastAsia="仿宋_GB2312"/>
          <w:spacing w:val="0"/>
          <w:sz w:val="32"/>
          <w:szCs w:val="32"/>
          <w:highlight w:val="none"/>
          <w:lang w:eastAsia="zh-CN"/>
        </w:rPr>
        <w:t>年度</w:t>
      </w:r>
      <w:r>
        <w:rPr>
          <w:rFonts w:hint="eastAsia" w:ascii="仿宋_GB2312" w:eastAsia="仿宋_GB2312"/>
          <w:sz w:val="32"/>
          <w:szCs w:val="32"/>
          <w:highlight w:val="none"/>
        </w:rPr>
        <w:t>财政拨款收入总计164.69万元，其中：年初财政拨款结转和结余0.00万元，财政拨款本年收入164.69万元。财政拨款收入总计与上年相比，增加40.35万元，增长32.45%，</w:t>
      </w:r>
      <w:r>
        <w:rPr>
          <w:rFonts w:hint="eastAsia" w:ascii="仿宋_GB2312" w:eastAsia="仿宋_GB2312"/>
          <w:sz w:val="32"/>
          <w:szCs w:val="32"/>
          <w:highlight w:val="none"/>
          <w:lang w:eastAsia="zh-CN"/>
        </w:rPr>
        <w:t>主要原因是：</w:t>
      </w:r>
      <w:r>
        <w:rPr>
          <w:rFonts w:hint="eastAsia" w:ascii="仿宋_GB2312" w:eastAsia="仿宋_GB2312"/>
          <w:sz w:val="32"/>
          <w:szCs w:val="32"/>
          <w:highlight w:val="none"/>
        </w:rPr>
        <w:t>2022年人员经费增加，</w:t>
      </w:r>
      <w:r>
        <w:rPr>
          <w:rFonts w:hint="eastAsia" w:ascii="仿宋_GB2312" w:eastAsia="仿宋_GB2312"/>
          <w:sz w:val="32"/>
          <w:szCs w:val="32"/>
          <w:highlight w:val="none"/>
          <w:lang w:eastAsia="zh-CN"/>
        </w:rPr>
        <w:t>本年绩效改革</w:t>
      </w:r>
      <w:r>
        <w:rPr>
          <w:rFonts w:hint="eastAsia" w:ascii="仿宋_GB2312" w:eastAsia="仿宋_GB2312"/>
          <w:sz w:val="32"/>
          <w:szCs w:val="32"/>
          <w:highlight w:val="none"/>
        </w:rPr>
        <w:t>、基本工资调增、每年正常调资等。</w:t>
      </w:r>
    </w:p>
    <w:p w14:paraId="61C242B4">
      <w:pPr>
        <w:keepNext w:val="0"/>
        <w:keepLines w:val="0"/>
        <w:pageBreakBefore w:val="0"/>
        <w:widowControl w:val="0"/>
        <w:kinsoku/>
        <w:wordWrap/>
        <w:overflowPunct/>
        <w:topLinePunct w:val="0"/>
        <w:autoSpaceDE/>
        <w:autoSpaceDN/>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财政拨款支出总计164.69万元，其中：年末财政拨款结转和结余0.00万元，财政拨款本年支出164.69万元。财政拨款支出总计与上年相比，增加40.35万元，增长32.45%，</w:t>
      </w:r>
      <w:r>
        <w:rPr>
          <w:rFonts w:hint="eastAsia" w:ascii="仿宋_GB2312" w:eastAsia="仿宋_GB2312"/>
          <w:sz w:val="32"/>
          <w:szCs w:val="32"/>
          <w:highlight w:val="none"/>
          <w:lang w:eastAsia="zh-CN"/>
        </w:rPr>
        <w:t>主要原因是：</w:t>
      </w:r>
      <w:r>
        <w:rPr>
          <w:rFonts w:hint="eastAsia" w:ascii="仿宋_GB2312" w:eastAsia="仿宋_GB2312"/>
          <w:sz w:val="32"/>
          <w:szCs w:val="32"/>
          <w:highlight w:val="none"/>
        </w:rPr>
        <w:t>2022年人员经费增加，</w:t>
      </w:r>
      <w:r>
        <w:rPr>
          <w:rFonts w:hint="eastAsia" w:ascii="仿宋_GB2312" w:eastAsia="仿宋_GB2312"/>
          <w:sz w:val="32"/>
          <w:szCs w:val="32"/>
          <w:highlight w:val="none"/>
          <w:lang w:eastAsia="zh-CN"/>
        </w:rPr>
        <w:t>本年绩效改革</w:t>
      </w:r>
      <w:r>
        <w:rPr>
          <w:rFonts w:hint="eastAsia" w:ascii="仿宋_GB2312" w:eastAsia="仿宋_GB2312"/>
          <w:sz w:val="32"/>
          <w:szCs w:val="32"/>
          <w:highlight w:val="none"/>
        </w:rPr>
        <w:t>、基本工资调增、每年正常调资等。</w:t>
      </w:r>
    </w:p>
    <w:p w14:paraId="750E9668">
      <w:pPr>
        <w:keepNext w:val="0"/>
        <w:keepLines w:val="0"/>
        <w:pageBreakBefore w:val="0"/>
        <w:widowControl w:val="0"/>
        <w:kinsoku/>
        <w:wordWrap/>
        <w:overflowPunct/>
        <w:topLinePunct w:val="0"/>
        <w:autoSpaceDE/>
        <w:autoSpaceDN/>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与年初预算数相比情况：财政拨款收入总计年初预算数125.98万元，决算数164.69万元，预决算差异率30.73%，</w:t>
      </w:r>
      <w:r>
        <w:rPr>
          <w:rFonts w:hint="eastAsia" w:ascii="仿宋_GB2312" w:eastAsia="仿宋_GB2312"/>
          <w:sz w:val="32"/>
          <w:szCs w:val="32"/>
          <w:highlight w:val="none"/>
          <w:lang w:eastAsia="zh-CN"/>
        </w:rPr>
        <w:t>主要原因是：</w:t>
      </w:r>
      <w:r>
        <w:rPr>
          <w:rFonts w:hint="eastAsia" w:ascii="仿宋_GB2312" w:eastAsia="仿宋_GB2312"/>
          <w:sz w:val="32"/>
          <w:szCs w:val="32"/>
          <w:highlight w:val="none"/>
        </w:rPr>
        <w:t>2022年人员经费增加，</w:t>
      </w:r>
      <w:r>
        <w:rPr>
          <w:rFonts w:hint="eastAsia" w:ascii="仿宋_GB2312" w:eastAsia="仿宋_GB2312"/>
          <w:sz w:val="32"/>
          <w:szCs w:val="32"/>
          <w:highlight w:val="none"/>
          <w:lang w:eastAsia="zh-CN"/>
        </w:rPr>
        <w:t>本年绩效改革</w:t>
      </w:r>
      <w:r>
        <w:rPr>
          <w:rFonts w:hint="eastAsia" w:ascii="仿宋_GB2312" w:eastAsia="仿宋_GB2312"/>
          <w:sz w:val="32"/>
          <w:szCs w:val="32"/>
          <w:highlight w:val="none"/>
        </w:rPr>
        <w:t>、基本工资调增、每年正常调资等。财政拨款支出总计年初预算数125.98万元，决算数164.69万元，预决算差异率30.73%，</w:t>
      </w:r>
      <w:r>
        <w:rPr>
          <w:rFonts w:hint="eastAsia" w:ascii="仿宋_GB2312" w:eastAsia="仿宋_GB2312"/>
          <w:sz w:val="32"/>
          <w:szCs w:val="32"/>
          <w:highlight w:val="none"/>
          <w:lang w:eastAsia="zh-CN"/>
        </w:rPr>
        <w:t>主要原因是：</w:t>
      </w:r>
      <w:r>
        <w:rPr>
          <w:rFonts w:hint="eastAsia" w:ascii="仿宋_GB2312" w:eastAsia="仿宋_GB2312"/>
          <w:sz w:val="32"/>
          <w:szCs w:val="32"/>
          <w:highlight w:val="none"/>
        </w:rPr>
        <w:t>2022年人员经费增加，</w:t>
      </w:r>
      <w:r>
        <w:rPr>
          <w:rFonts w:hint="eastAsia" w:ascii="仿宋_GB2312" w:eastAsia="仿宋_GB2312"/>
          <w:sz w:val="32"/>
          <w:szCs w:val="32"/>
          <w:highlight w:val="none"/>
          <w:lang w:eastAsia="zh-CN"/>
        </w:rPr>
        <w:t>本年绩效改革</w:t>
      </w:r>
      <w:r>
        <w:rPr>
          <w:rFonts w:hint="eastAsia" w:ascii="仿宋_GB2312" w:eastAsia="仿宋_GB2312"/>
          <w:sz w:val="32"/>
          <w:szCs w:val="32"/>
          <w:highlight w:val="none"/>
        </w:rPr>
        <w:t>、基本工资调增、每年正常调资等。</w:t>
      </w:r>
    </w:p>
    <w:p w14:paraId="2903B16E">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lang w:eastAsia="zh-CN"/>
        </w:rPr>
      </w:pPr>
      <w:bookmarkStart w:id="16" w:name="_Toc13833"/>
      <w:bookmarkStart w:id="17" w:name="_Toc20360"/>
      <w:r>
        <w:rPr>
          <w:rFonts w:hint="eastAsia" w:ascii="黑体" w:hAnsi="黑体" w:eastAsia="黑体" w:cs="宋体"/>
          <w:kern w:val="0"/>
          <w:sz w:val="32"/>
          <w:szCs w:val="32"/>
          <w:highlight w:val="none"/>
          <w:lang w:eastAsia="zh-CN"/>
        </w:rPr>
        <w:t>五、一般公共预算财政拨款支出决算情况说明</w:t>
      </w:r>
      <w:bookmarkEnd w:id="16"/>
      <w:bookmarkEnd w:id="17"/>
    </w:p>
    <w:p w14:paraId="004315C5">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lang w:eastAsia="zh-CN"/>
        </w:rPr>
      </w:pPr>
      <w:r>
        <w:rPr>
          <w:rFonts w:hint="eastAsia" w:ascii="黑体" w:hAnsi="黑体" w:eastAsia="黑体" w:cs="宋体"/>
          <w:kern w:val="0"/>
          <w:sz w:val="32"/>
          <w:szCs w:val="32"/>
          <w:highlight w:val="none"/>
          <w:lang w:eastAsia="zh-CN"/>
        </w:rPr>
        <w:t>（一）一般公共预算财政拨款支出决算总体情况</w:t>
      </w:r>
    </w:p>
    <w:p w14:paraId="3E3F9169">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pacing w:val="0"/>
          <w:sz w:val="32"/>
          <w:szCs w:val="32"/>
          <w:highlight w:val="none"/>
        </w:rPr>
        <w:t>2022</w:t>
      </w:r>
      <w:r>
        <w:rPr>
          <w:rFonts w:hint="eastAsia" w:ascii="仿宋_GB2312" w:eastAsia="仿宋_GB2312"/>
          <w:spacing w:val="0"/>
          <w:sz w:val="32"/>
          <w:szCs w:val="32"/>
          <w:highlight w:val="none"/>
          <w:lang w:eastAsia="zh-CN"/>
        </w:rPr>
        <w:t>年度</w:t>
      </w:r>
      <w:r>
        <w:rPr>
          <w:rFonts w:hint="eastAsia" w:ascii="仿宋_GB2312" w:eastAsia="仿宋_GB2312"/>
          <w:sz w:val="32"/>
          <w:szCs w:val="32"/>
          <w:highlight w:val="none"/>
        </w:rPr>
        <w:t>一般公共预算财政拨款支出164.69万元，占本年支出合计的97.80%，与上年相比，增加40.35万元，增长32.45%，主要原因是：2022年人员经费增加，</w:t>
      </w:r>
      <w:r>
        <w:rPr>
          <w:rFonts w:hint="eastAsia" w:ascii="仿宋_GB2312" w:eastAsia="仿宋_GB2312"/>
          <w:sz w:val="32"/>
          <w:szCs w:val="32"/>
          <w:highlight w:val="none"/>
          <w:lang w:eastAsia="zh-CN"/>
        </w:rPr>
        <w:t>本年绩效改革</w:t>
      </w:r>
      <w:r>
        <w:rPr>
          <w:rFonts w:hint="eastAsia" w:ascii="仿宋_GB2312" w:eastAsia="仿宋_GB2312"/>
          <w:sz w:val="32"/>
          <w:szCs w:val="32"/>
          <w:highlight w:val="none"/>
        </w:rPr>
        <w:t>、基本工资调增、每年正常调资等。</w:t>
      </w:r>
    </w:p>
    <w:p w14:paraId="6B943FA4">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lang w:eastAsia="zh-CN"/>
        </w:rPr>
      </w:pPr>
      <w:r>
        <w:rPr>
          <w:rFonts w:hint="eastAsia" w:ascii="黑体" w:hAnsi="黑体" w:eastAsia="黑体" w:cs="宋体"/>
          <w:kern w:val="0"/>
          <w:sz w:val="32"/>
          <w:szCs w:val="32"/>
          <w:highlight w:val="none"/>
          <w:lang w:eastAsia="zh-CN"/>
        </w:rPr>
        <w:t>（二）一般公共预算财政拨款支出决算结构情况</w:t>
      </w:r>
    </w:p>
    <w:p w14:paraId="4EF719AB">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1.社会保障和就业支出（类）145.89万元，占88.58%。</w:t>
      </w:r>
    </w:p>
    <w:p w14:paraId="24F027D5">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2.卫生健康支出（类）7.79万元，占4.73%。</w:t>
      </w:r>
    </w:p>
    <w:p w14:paraId="094CBD8C">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3.住房保障支出（类）11.00万元，占6.69%。</w:t>
      </w:r>
    </w:p>
    <w:p w14:paraId="4DAA0267">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lang w:eastAsia="zh-CN"/>
        </w:rPr>
      </w:pPr>
      <w:r>
        <w:rPr>
          <w:rFonts w:hint="eastAsia" w:ascii="黑体" w:hAnsi="黑体" w:eastAsia="黑体" w:cs="宋体"/>
          <w:kern w:val="0"/>
          <w:sz w:val="32"/>
          <w:szCs w:val="32"/>
          <w:highlight w:val="none"/>
          <w:lang w:eastAsia="zh-CN"/>
        </w:rPr>
        <w:t>（三）一般公共预算财政拨款支出决算具体情况</w:t>
      </w:r>
    </w:p>
    <w:p w14:paraId="7267E9A5">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1.社会保障和就业支出（类）行政事业单位养老支出（款）行政单位离退休（项）：支出决算数为5.95万元，比上年决算增加0.68万元，增长12.90%，主要原因是：2022年人员经费增加，本年绩效改革、基本工资调增、每年正常调资等。</w:t>
      </w:r>
    </w:p>
    <w:p w14:paraId="409DD795">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2.社会保障和就业支出（类）行政事业单位养老支出（款）机关事业单位基本养老保险缴费支出（项）：支出决算数为12.72万元，比上年决算增加2.64万元，增长26.32%，主要原因是：2022年人员经费增加，本年绩效改革、基本工资调增、每年正常调资等。</w:t>
      </w:r>
    </w:p>
    <w:p w14:paraId="7F44FE23">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3.社会保障和就业支出（类）红十字事业（款）行政运行（项）：支出决算数为127.23万元，比上年决算增加18.82万元，增长17.36%，主要原因是：2022年人员经费增加，本年绩效改革、基本工资调增、每年正常调资等。</w:t>
      </w:r>
    </w:p>
    <w:p w14:paraId="0B8D8502">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4.卫生健康支出（类）行政事业单位医疗（款）行政单位医疗（项）：支出决算数为6.20万元，比上年决算增加6.20万元，增长100%，主要原因是：行政单位医疗为本年度新增项目，因此增长率为100%。</w:t>
      </w:r>
    </w:p>
    <w:p w14:paraId="11ABAD5B">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5.卫生健康支出（类）行政事业单位医疗（款）公务员医疗补助（项）：支出决算数为1.59万元，比上年决算增加1.59万元，增长100%，主要原因是：本年科目调整，上年在主款中列支，本年单独列支。</w:t>
      </w:r>
    </w:p>
    <w:p w14:paraId="33CECCFF">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6.住房保障支出（类）住房改革支出（款）住房公积金（项）：支出决算数为11.00万元，比上年决算增加11.00万元，增长100%，主要原因是：本年科目调整，上年在主款中列支，本年单独列支。</w:t>
      </w:r>
    </w:p>
    <w:p w14:paraId="3386D1C9">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7、社会保障和就业支出（类）红十字事业（款）其他红十字事业支出（项）：支出决算数为0.00万元，比上年决算减少0.59万元，下降100%，主要原因是：本年无此科目支出。</w:t>
      </w:r>
    </w:p>
    <w:p w14:paraId="4AD3573A">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lang w:eastAsia="zh-CN"/>
        </w:rPr>
      </w:pPr>
      <w:bookmarkStart w:id="18" w:name="_Toc11146"/>
      <w:bookmarkStart w:id="19" w:name="_Toc30870"/>
      <w:r>
        <w:rPr>
          <w:rFonts w:hint="eastAsia" w:ascii="黑体" w:hAnsi="黑体" w:eastAsia="黑体" w:cs="宋体"/>
          <w:kern w:val="0"/>
          <w:sz w:val="32"/>
          <w:szCs w:val="32"/>
          <w:highlight w:val="none"/>
          <w:lang w:eastAsia="zh-CN"/>
        </w:rPr>
        <w:t>六、一般公共预算财政拨款基本支出决算情况说明</w:t>
      </w:r>
      <w:bookmarkEnd w:id="18"/>
      <w:bookmarkEnd w:id="19"/>
    </w:p>
    <w:p w14:paraId="23466D6B">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2022年度一般公共预算财政拨款基本支出164.69万元，其中：</w:t>
      </w:r>
    </w:p>
    <w:p w14:paraId="7FD589C8">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rPr>
        <w:t>人员经费150.64万元，包括：基本工资、津贴补贴、奖金、机关事业单位基本养老保险缴费、职工基本医疗保险缴费、公务员医疗补助缴费、其他社会保障缴费、住房公积金、退休费、医疗费补助、奖励金。</w:t>
      </w:r>
    </w:p>
    <w:p w14:paraId="0F4C5EEC">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rPr>
        <w:t>公用经费14.04万元，包括：办公费、印刷费、电费、邮电费、取暖费、差旅费、劳务费、委托业务费、工会经费、福利费、公务用车运行维护费、办公设备购置。</w:t>
      </w:r>
    </w:p>
    <w:p w14:paraId="4E2687EB">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lang w:eastAsia="zh-CN"/>
        </w:rPr>
      </w:pPr>
      <w:bookmarkStart w:id="20" w:name="_Toc7190"/>
      <w:bookmarkStart w:id="21" w:name="_Toc21518"/>
      <w:r>
        <w:rPr>
          <w:rFonts w:hint="eastAsia" w:ascii="黑体" w:hAnsi="黑体" w:eastAsia="黑体" w:cs="宋体"/>
          <w:kern w:val="0"/>
          <w:sz w:val="32"/>
          <w:szCs w:val="32"/>
          <w:highlight w:val="none"/>
          <w:lang w:eastAsia="zh-CN"/>
        </w:rPr>
        <w:t>七</w:t>
      </w:r>
      <w:r>
        <w:rPr>
          <w:rFonts w:hint="eastAsia" w:ascii="黑体" w:hAnsi="黑体" w:eastAsia="黑体" w:cs="宋体"/>
          <w:kern w:val="0"/>
          <w:sz w:val="32"/>
          <w:szCs w:val="32"/>
          <w:highlight w:val="none"/>
        </w:rPr>
        <w:t>、</w:t>
      </w:r>
      <w:r>
        <w:rPr>
          <w:rFonts w:hint="eastAsia" w:ascii="黑体" w:hAnsi="黑体" w:eastAsia="黑体" w:cs="宋体"/>
          <w:kern w:val="0"/>
          <w:sz w:val="32"/>
          <w:szCs w:val="32"/>
          <w:highlight w:val="none"/>
          <w:lang w:eastAsia="zh-CN"/>
        </w:rPr>
        <w:t>财政拨款</w:t>
      </w:r>
      <w:r>
        <w:rPr>
          <w:rFonts w:hint="eastAsia" w:ascii="黑体" w:hAnsi="黑体" w:eastAsia="黑体" w:cs="宋体"/>
          <w:kern w:val="0"/>
          <w:sz w:val="32"/>
          <w:szCs w:val="32"/>
          <w:highlight w:val="none"/>
        </w:rPr>
        <w:t>“三公”经费支出</w:t>
      </w:r>
      <w:r>
        <w:rPr>
          <w:rFonts w:hint="eastAsia" w:ascii="黑体" w:hAnsi="黑体" w:eastAsia="黑体" w:cs="宋体"/>
          <w:kern w:val="0"/>
          <w:sz w:val="32"/>
          <w:szCs w:val="32"/>
          <w:highlight w:val="none"/>
          <w:lang w:eastAsia="zh-CN"/>
        </w:rPr>
        <w:t>决算</w:t>
      </w:r>
      <w:r>
        <w:rPr>
          <w:rFonts w:hint="eastAsia" w:ascii="黑体" w:hAnsi="黑体" w:eastAsia="黑体" w:cs="宋体"/>
          <w:kern w:val="0"/>
          <w:sz w:val="32"/>
          <w:szCs w:val="32"/>
          <w:highlight w:val="none"/>
        </w:rPr>
        <w:t>情况</w:t>
      </w:r>
      <w:r>
        <w:rPr>
          <w:rFonts w:hint="eastAsia" w:ascii="黑体" w:hAnsi="黑体" w:eastAsia="黑体" w:cs="宋体"/>
          <w:kern w:val="0"/>
          <w:sz w:val="32"/>
          <w:szCs w:val="32"/>
          <w:highlight w:val="none"/>
          <w:lang w:eastAsia="zh-CN"/>
        </w:rPr>
        <w:t>说明</w:t>
      </w:r>
      <w:bookmarkEnd w:id="20"/>
      <w:bookmarkEnd w:id="21"/>
    </w:p>
    <w:p w14:paraId="09140A5F">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pacing w:val="0"/>
          <w:sz w:val="32"/>
          <w:szCs w:val="32"/>
          <w:highlight w:val="none"/>
        </w:rPr>
        <w:t>2022</w:t>
      </w:r>
      <w:r>
        <w:rPr>
          <w:rFonts w:hint="eastAsia" w:ascii="仿宋_GB2312" w:eastAsia="仿宋_GB2312"/>
          <w:spacing w:val="0"/>
          <w:sz w:val="32"/>
          <w:szCs w:val="32"/>
          <w:highlight w:val="none"/>
          <w:lang w:eastAsia="zh-CN"/>
        </w:rPr>
        <w:t>年度</w:t>
      </w:r>
      <w:r>
        <w:rPr>
          <w:rFonts w:hint="eastAsia" w:ascii="仿宋_GB2312" w:eastAsia="仿宋_GB2312"/>
          <w:sz w:val="32"/>
          <w:szCs w:val="32"/>
          <w:highlight w:val="none"/>
        </w:rPr>
        <w:t>财政拨款“三公”经费支出决算1.61万元，比上年增加0.84万元，增长109.09%，主要原因是：车辆故障，车辆维修费用增加。其中：因公出国（境）费支出0.00万元，占0.00%，比上年增加0.00万元，增长0.00%，主要原因是：我单位无因公出国（境）费支出；公务用车购置及运行维护费支出1.61万元，占100.00%，比上年增加0.87万元，增长117.57%，主要原因是：车辆故障，车辆维修费用增加；公务接待费支出0.00万元，占0.00%，比上年减少0.03万元，下降100%，主要原因是：我单位无公务接待费支出。具体情况如下：</w:t>
      </w:r>
    </w:p>
    <w:p w14:paraId="3898E857">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因公出国（境）费支出0.00万元，开支内容包括我单位无因公出国（境）费支出。单位全年安排的因公出国（境）团组0个，因公出国（境）0人次。</w:t>
      </w:r>
    </w:p>
    <w:p w14:paraId="0D63212E">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公务用车购置及运行维护费1.61万元，其中：公务用车购置费0.00万元，公务用车运行维护费1.61万元。公务用车运行维护费开支内容包括车辆燃油费3186元，车辆保险费3348.03元，车辆维修9153元，过路过桥152元，停车洗车260元。公务用车购置数0辆，公务用车保有量2辆。</w:t>
      </w:r>
    </w:p>
    <w:p w14:paraId="22761AD3">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公务接待费0.00万元，开支内容包括我单位无公务接待费。单位全年安排的国内公务接待0批次，0人次。</w:t>
      </w:r>
    </w:p>
    <w:p w14:paraId="2141BF63">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与全年预算数相比情况：“三公”经费支出全年预算数1.61万元，决算数1.61万元，预决算差异率0.00%，主要原因是：单位对三公经费控制率较高。</w:t>
      </w:r>
      <w:r>
        <w:rPr>
          <w:rFonts w:hint="eastAsia" w:ascii="仿宋_GB2312" w:eastAsia="仿宋_GB2312"/>
          <w:sz w:val="32"/>
          <w:szCs w:val="32"/>
          <w:highlight w:val="none"/>
          <w:lang w:eastAsia="zh-CN"/>
        </w:rPr>
        <w:t>其中：因公出国（境）费全年预算数0.00万元，决算数0.00万元，预决算差异率0.00%，主要原因是：我单位无因公出国（境）费；</w:t>
      </w:r>
      <w:r>
        <w:rPr>
          <w:rFonts w:hint="eastAsia" w:ascii="仿宋_GB2312" w:eastAsia="仿宋_GB2312"/>
          <w:sz w:val="32"/>
          <w:szCs w:val="32"/>
          <w:highlight w:val="none"/>
        </w:rPr>
        <w:t>公务用车购置费全年预算数0.00万元，决算数0.00万元，预决算差异率0.00%，主要原因是：我单位未购置公务用车；</w:t>
      </w:r>
      <w:r>
        <w:rPr>
          <w:rFonts w:hint="eastAsia" w:ascii="仿宋_GB2312" w:hAnsi="宋体" w:eastAsia="仿宋_GB2312" w:cs="宋体"/>
          <w:kern w:val="0"/>
          <w:sz w:val="32"/>
          <w:szCs w:val="32"/>
          <w:highlight w:val="none"/>
        </w:rPr>
        <w:t>公务用车运行费全年预算数1.61万元，决算数1.61万元，预决算差异率0.00%，主要原因是：单位对三公经费控制率较高；</w:t>
      </w:r>
      <w:r>
        <w:rPr>
          <w:rFonts w:hint="eastAsia" w:ascii="仿宋_GB2312" w:eastAsia="仿宋_GB2312"/>
          <w:sz w:val="32"/>
          <w:szCs w:val="32"/>
          <w:highlight w:val="none"/>
        </w:rPr>
        <w:t>公务接待费全年预算数0.00万元，决算数0.00万元，预决算差异率0.00%，主要原因是：我单位无公务接待费。</w:t>
      </w:r>
    </w:p>
    <w:p w14:paraId="2D8F21CC">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lang w:eastAsia="zh-CN"/>
        </w:rPr>
      </w:pPr>
      <w:bookmarkStart w:id="22" w:name="_Toc7927"/>
      <w:bookmarkStart w:id="23" w:name="_Toc5810"/>
      <w:r>
        <w:rPr>
          <w:rFonts w:hint="eastAsia" w:ascii="黑体" w:hAnsi="黑体" w:eastAsia="黑体" w:cs="宋体"/>
          <w:kern w:val="0"/>
          <w:sz w:val="32"/>
          <w:szCs w:val="32"/>
          <w:highlight w:val="none"/>
          <w:lang w:eastAsia="zh-CN"/>
        </w:rPr>
        <w:t>八、政府性基金预算财政拨款收入支出决算情况说明</w:t>
      </w:r>
      <w:bookmarkEnd w:id="22"/>
      <w:bookmarkEnd w:id="23"/>
    </w:p>
    <w:p w14:paraId="2ECFE8BB">
      <w:pPr>
        <w:keepNext w:val="0"/>
        <w:keepLines w:val="0"/>
        <w:pageBreakBefore w:val="0"/>
        <w:widowControl w:val="0"/>
        <w:kinsoku/>
        <w:wordWrap/>
        <w:overflowPunct/>
        <w:topLinePunct w:val="0"/>
        <w:autoSpaceDE/>
        <w:autoSpaceDN/>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eastAsia="zh-CN"/>
        </w:rPr>
        <w:t>我单位本年度无政府性基金预算财政拨款收入、支出及结转和结余，</w:t>
      </w:r>
      <w:r>
        <w:rPr>
          <w:rFonts w:hint="eastAsia" w:ascii="仿宋_GB2312" w:eastAsia="仿宋_GB2312"/>
          <w:sz w:val="32"/>
          <w:szCs w:val="32"/>
          <w:highlight w:val="none"/>
        </w:rPr>
        <w:t>政府性基金预算财政拨款收入支出决算表为空表。</w:t>
      </w:r>
    </w:p>
    <w:p w14:paraId="30C624B0">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lang w:eastAsia="zh-CN"/>
        </w:rPr>
      </w:pPr>
      <w:r>
        <w:rPr>
          <w:rFonts w:hint="eastAsia" w:ascii="黑体" w:hAnsi="黑体" w:eastAsia="黑体" w:cs="宋体"/>
          <w:kern w:val="0"/>
          <w:sz w:val="32"/>
          <w:szCs w:val="32"/>
          <w:highlight w:val="none"/>
          <w:lang w:eastAsia="zh-CN"/>
        </w:rPr>
        <w:t>九、国有资本经营预算财政拨款收入支出决算情况说明</w:t>
      </w:r>
    </w:p>
    <w:p w14:paraId="23D86334">
      <w:pPr>
        <w:keepNext w:val="0"/>
        <w:keepLines w:val="0"/>
        <w:pageBreakBefore w:val="0"/>
        <w:widowControl w:val="0"/>
        <w:kinsoku/>
        <w:wordWrap/>
        <w:overflowPunct/>
        <w:topLinePunct w:val="0"/>
        <w:autoSpaceDE/>
        <w:autoSpaceDN/>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eastAsia="zh-CN"/>
        </w:rPr>
        <w:t>我单位本年度无国有资本经营预算财政拨款收入、支出及结转和结余，</w:t>
      </w:r>
      <w:r>
        <w:rPr>
          <w:rFonts w:hint="eastAsia" w:ascii="仿宋_GB2312" w:eastAsia="仿宋_GB2312"/>
          <w:sz w:val="32"/>
          <w:szCs w:val="32"/>
          <w:highlight w:val="none"/>
        </w:rPr>
        <w:t>国有资本经营预算财政拨款收入支出决算表为空表。</w:t>
      </w:r>
    </w:p>
    <w:p w14:paraId="3461582C">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lang w:eastAsia="zh-CN"/>
        </w:rPr>
      </w:pPr>
      <w:bookmarkStart w:id="24" w:name="_Toc7314"/>
      <w:bookmarkStart w:id="25" w:name="_Toc1235"/>
      <w:r>
        <w:rPr>
          <w:rFonts w:hint="eastAsia" w:ascii="黑体" w:hAnsi="黑体" w:eastAsia="黑体" w:cs="宋体"/>
          <w:kern w:val="0"/>
          <w:sz w:val="32"/>
          <w:szCs w:val="32"/>
          <w:highlight w:val="none"/>
          <w:lang w:eastAsia="zh-CN"/>
        </w:rPr>
        <w:t>十</w:t>
      </w:r>
      <w:r>
        <w:rPr>
          <w:rFonts w:hint="eastAsia" w:ascii="黑体" w:hAnsi="黑体" w:eastAsia="黑体" w:cs="宋体"/>
          <w:kern w:val="0"/>
          <w:sz w:val="32"/>
          <w:szCs w:val="32"/>
          <w:highlight w:val="none"/>
        </w:rPr>
        <w:t>、其他重要事项的情况</w:t>
      </w:r>
      <w:r>
        <w:rPr>
          <w:rFonts w:hint="eastAsia" w:ascii="黑体" w:hAnsi="黑体" w:eastAsia="黑体" w:cs="宋体"/>
          <w:kern w:val="0"/>
          <w:sz w:val="32"/>
          <w:szCs w:val="32"/>
          <w:highlight w:val="none"/>
          <w:lang w:eastAsia="zh-CN"/>
        </w:rPr>
        <w:t>说明</w:t>
      </w:r>
      <w:bookmarkEnd w:id="24"/>
      <w:bookmarkEnd w:id="25"/>
    </w:p>
    <w:p w14:paraId="7A819434">
      <w:pPr>
        <w:keepNext w:val="0"/>
        <w:keepLines w:val="0"/>
        <w:pageBreakBefore w:val="0"/>
        <w:widowControl w:val="0"/>
        <w:kinsoku/>
        <w:wordWrap/>
        <w:overflowPunct/>
        <w:topLinePunct w:val="0"/>
        <w:autoSpaceDE/>
        <w:autoSpaceDN/>
        <w:adjustRightInd/>
        <w:snapToGrid/>
        <w:spacing w:line="240" w:lineRule="auto"/>
        <w:ind w:firstLine="640" w:firstLineChars="200"/>
        <w:textAlignment w:val="auto"/>
        <w:outlineLvl w:val="2"/>
        <w:rPr>
          <w:rFonts w:hint="eastAsia" w:ascii="黑体" w:hAnsi="黑体" w:eastAsia="黑体"/>
          <w:sz w:val="32"/>
          <w:szCs w:val="32"/>
          <w:highlight w:val="none"/>
        </w:rPr>
      </w:pPr>
      <w:bookmarkStart w:id="26" w:name="_Toc13105"/>
      <w:bookmarkStart w:id="27" w:name="_Toc14519"/>
      <w:r>
        <w:rPr>
          <w:rFonts w:hint="eastAsia" w:ascii="黑体" w:hAnsi="黑体" w:eastAsia="黑体"/>
          <w:sz w:val="32"/>
          <w:szCs w:val="32"/>
          <w:highlight w:val="none"/>
          <w:lang w:eastAsia="zh-CN"/>
        </w:rPr>
        <w:t>（一）</w:t>
      </w:r>
      <w:r>
        <w:rPr>
          <w:rFonts w:hint="eastAsia" w:ascii="黑体" w:hAnsi="黑体" w:eastAsia="黑体"/>
          <w:sz w:val="32"/>
          <w:szCs w:val="32"/>
          <w:highlight w:val="none"/>
        </w:rPr>
        <w:t>机关运行经费支出情况</w:t>
      </w:r>
      <w:bookmarkEnd w:id="26"/>
      <w:bookmarkEnd w:id="27"/>
    </w:p>
    <w:p w14:paraId="35F78F0D">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2022年度新疆阿勒泰地区红十字会（行政单位和参照公务员法管理事业单位）机关运行经费支出14.04万元，比上年减少0.87万元，下降5.84%，主要原因是：单位厉行节约，减少支出。</w:t>
      </w:r>
    </w:p>
    <w:p w14:paraId="09E21200">
      <w:pPr>
        <w:keepNext w:val="0"/>
        <w:keepLines w:val="0"/>
        <w:pageBreakBefore w:val="0"/>
        <w:widowControl w:val="0"/>
        <w:kinsoku/>
        <w:wordWrap/>
        <w:overflowPunct/>
        <w:topLinePunct w:val="0"/>
        <w:autoSpaceDE/>
        <w:autoSpaceDN/>
        <w:adjustRightInd/>
        <w:snapToGrid/>
        <w:spacing w:line="240" w:lineRule="auto"/>
        <w:ind w:firstLine="640" w:firstLineChars="200"/>
        <w:textAlignment w:val="auto"/>
        <w:outlineLvl w:val="2"/>
        <w:rPr>
          <w:rFonts w:hint="eastAsia" w:ascii="黑体" w:hAnsi="黑体" w:eastAsia="黑体"/>
          <w:sz w:val="32"/>
          <w:szCs w:val="32"/>
          <w:highlight w:val="none"/>
          <w:lang w:eastAsia="zh-CN"/>
        </w:rPr>
      </w:pPr>
      <w:bookmarkStart w:id="28" w:name="_Toc26704"/>
      <w:bookmarkStart w:id="29" w:name="_Toc227"/>
      <w:r>
        <w:rPr>
          <w:rFonts w:hint="eastAsia" w:ascii="黑体" w:hAnsi="黑体" w:eastAsia="黑体"/>
          <w:sz w:val="32"/>
          <w:szCs w:val="32"/>
          <w:highlight w:val="none"/>
          <w:lang w:eastAsia="zh-CN"/>
        </w:rPr>
        <w:t>（二）政府采购情况</w:t>
      </w:r>
      <w:bookmarkEnd w:id="28"/>
      <w:bookmarkEnd w:id="29"/>
    </w:p>
    <w:p w14:paraId="1BF062E2">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pacing w:val="0"/>
          <w:sz w:val="32"/>
          <w:szCs w:val="32"/>
          <w:highlight w:val="none"/>
        </w:rPr>
        <w:t>2022年度政府采购支出总额6.86万元，其中：政府采购货物支出2.50万元、政府采购工程支出0.00万元、政府采购服务支出4.36万元。</w:t>
      </w:r>
    </w:p>
    <w:p w14:paraId="161CE1CD">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rPr>
        <w:t>授予中小企业合同金额</w:t>
      </w:r>
      <w:r>
        <w:rPr>
          <w:rFonts w:hint="eastAsia" w:ascii="仿宋_GB2312" w:eastAsia="仿宋_GB2312"/>
          <w:sz w:val="32"/>
          <w:szCs w:val="32"/>
          <w:highlight w:val="none"/>
          <w:lang w:eastAsia="zh-CN"/>
        </w:rPr>
        <w:t>5.66</w:t>
      </w:r>
      <w:r>
        <w:rPr>
          <w:rFonts w:hint="eastAsia" w:ascii="仿宋_GB2312" w:eastAsia="仿宋_GB2312"/>
          <w:sz w:val="32"/>
          <w:szCs w:val="32"/>
          <w:highlight w:val="none"/>
        </w:rPr>
        <w:t>万元，占政府采购支出总额的</w:t>
      </w:r>
      <w:r>
        <w:rPr>
          <w:rFonts w:hint="eastAsia" w:ascii="仿宋_GB2312" w:eastAsia="仿宋_GB2312"/>
          <w:sz w:val="32"/>
          <w:szCs w:val="32"/>
          <w:highlight w:val="none"/>
          <w:lang w:eastAsia="zh-CN"/>
        </w:rPr>
        <w:t>82.45</w:t>
      </w:r>
      <w:r>
        <w:rPr>
          <w:rFonts w:hint="eastAsia" w:ascii="仿宋_GB2312" w:eastAsia="仿宋_GB2312"/>
          <w:sz w:val="32"/>
          <w:szCs w:val="32"/>
          <w:highlight w:val="none"/>
          <w:lang w:val="en-US" w:eastAsia="zh-CN"/>
        </w:rPr>
        <w:t>%</w:t>
      </w:r>
      <w:r>
        <w:rPr>
          <w:rFonts w:hint="eastAsia" w:ascii="仿宋_GB2312" w:eastAsia="仿宋_GB2312"/>
          <w:sz w:val="32"/>
          <w:szCs w:val="32"/>
          <w:highlight w:val="none"/>
        </w:rPr>
        <w:t>，其中：授予小微企业合同金额</w:t>
      </w:r>
      <w:r>
        <w:rPr>
          <w:rFonts w:hint="eastAsia" w:ascii="仿宋_GB2312" w:eastAsia="仿宋_GB2312"/>
          <w:sz w:val="32"/>
          <w:szCs w:val="32"/>
          <w:highlight w:val="none"/>
          <w:lang w:eastAsia="zh-CN"/>
        </w:rPr>
        <w:t>5.66</w:t>
      </w:r>
      <w:r>
        <w:rPr>
          <w:rFonts w:hint="eastAsia" w:ascii="仿宋_GB2312" w:eastAsia="仿宋_GB2312"/>
          <w:sz w:val="32"/>
          <w:szCs w:val="32"/>
          <w:highlight w:val="none"/>
        </w:rPr>
        <w:t>万元，占政府采购支出总额的</w:t>
      </w:r>
      <w:r>
        <w:rPr>
          <w:rFonts w:hint="eastAsia" w:ascii="仿宋_GB2312" w:eastAsia="仿宋_GB2312"/>
          <w:sz w:val="32"/>
          <w:szCs w:val="32"/>
          <w:highlight w:val="none"/>
          <w:lang w:eastAsia="zh-CN"/>
        </w:rPr>
        <w:t>82.45</w:t>
      </w:r>
      <w:r>
        <w:rPr>
          <w:rFonts w:hint="eastAsia" w:ascii="仿宋_GB2312" w:eastAsia="仿宋_GB2312"/>
          <w:sz w:val="32"/>
          <w:szCs w:val="32"/>
          <w:highlight w:val="none"/>
          <w:lang w:val="en-US" w:eastAsia="zh-CN"/>
        </w:rPr>
        <w:t>%。</w:t>
      </w:r>
    </w:p>
    <w:p w14:paraId="263505EA">
      <w:pPr>
        <w:keepNext w:val="0"/>
        <w:keepLines w:val="0"/>
        <w:pageBreakBefore w:val="0"/>
        <w:widowControl w:val="0"/>
        <w:kinsoku/>
        <w:wordWrap/>
        <w:overflowPunct/>
        <w:topLinePunct w:val="0"/>
        <w:autoSpaceDE/>
        <w:autoSpaceDN/>
        <w:adjustRightInd/>
        <w:snapToGrid/>
        <w:spacing w:line="240" w:lineRule="auto"/>
        <w:ind w:firstLine="640" w:firstLineChars="200"/>
        <w:textAlignment w:val="auto"/>
        <w:outlineLvl w:val="2"/>
        <w:rPr>
          <w:rFonts w:hint="eastAsia" w:ascii="黑体" w:hAnsi="黑体" w:eastAsia="黑体"/>
          <w:sz w:val="32"/>
          <w:szCs w:val="32"/>
          <w:highlight w:val="none"/>
          <w:lang w:eastAsia="zh-CN"/>
        </w:rPr>
      </w:pPr>
      <w:bookmarkStart w:id="30" w:name="_Toc4591"/>
      <w:bookmarkStart w:id="31" w:name="_Toc8391"/>
      <w:r>
        <w:rPr>
          <w:rFonts w:hint="eastAsia" w:ascii="黑体" w:hAnsi="黑体" w:eastAsia="黑体"/>
          <w:sz w:val="32"/>
          <w:szCs w:val="32"/>
          <w:highlight w:val="none"/>
          <w:lang w:eastAsia="zh-CN"/>
        </w:rPr>
        <w:t>（三）国有资产占用情况说明</w:t>
      </w:r>
      <w:bookmarkEnd w:id="30"/>
      <w:bookmarkEnd w:id="31"/>
    </w:p>
    <w:p w14:paraId="4FF37A9D">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eastAsia="zh-CN"/>
        </w:rPr>
        <w:t>截止2022年12月31日，固定资产原值106.72万元，房屋593.00平方米，价值61.13万元。车辆2辆，价值24.55万元，其中：副部（省）级及以上领导用车0辆、主要领导干部用车0辆、机要通信用车0辆、应急保障用车0辆、执法执勤用车0辆、特种专业技术用车0辆、离退休干部用车0辆、其他用车2辆，其他用车主要是：单位业务用车；单价100万元（含）以上设备（不含车辆）0台（套）。</w:t>
      </w:r>
    </w:p>
    <w:p w14:paraId="7592D406">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lang w:eastAsia="zh-CN"/>
        </w:rPr>
      </w:pPr>
      <w:bookmarkStart w:id="32" w:name="_Toc435"/>
      <w:bookmarkStart w:id="33" w:name="_Toc11283"/>
      <w:r>
        <w:rPr>
          <w:rFonts w:hint="eastAsia" w:ascii="黑体" w:hAnsi="黑体" w:eastAsia="黑体" w:cs="宋体"/>
          <w:kern w:val="0"/>
          <w:sz w:val="32"/>
          <w:szCs w:val="32"/>
          <w:highlight w:val="none"/>
          <w:lang w:eastAsia="zh-CN"/>
        </w:rPr>
        <w:t>十一、预算绩效的情况说明</w:t>
      </w:r>
      <w:bookmarkEnd w:id="32"/>
      <w:bookmarkEnd w:id="33"/>
    </w:p>
    <w:p w14:paraId="0FE02640">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eastAsia="zh-CN"/>
        </w:rPr>
        <w:t>根据预算绩效管理要求，我单位2022年度开展预算绩效评价项目1个，全年预算数0.70万元，全年执行数0.70万元。预算绩效管理取得的成效：一是进一步完善财务管理体制和运行机制、建立科学化绩效评价制度、加快财务监管体系建设、提高经费使用效益、强化财务风险管理。加强财务监督和绩效评价，把绩效管理的理念和方法引入经费的管理，逐步建立起以强化资金使用效益为核心的绩效评价体系；二是达到了专项资金做到了专款专用，资金支付依据和开支标准，决算编制较为真实、完整的成效。发现的问题及原因：一是全面实施绩效管理最大的难题在于实现财政资金的全覆盖，绩效管理的意识依然薄弱，未有效建立单位内部绩效管理制度；二是虽然对绩效自评进行了运行，但因为时间较短，对绩效工作理解分析不够透彻，工作上仍有欠缺，有待进一步提升整体绩效管理。下一步改进措施：一是加强对财务人员的业务培训，提高财务人员的专业素质和技能；财务人员加强对财务制度的学习，深入把握财务相关规定，严格遵守财务管理制度，加强单位内部控制管理，及各部门之间的配合；二是建立健全财务管理制度及内部控制制度，积极探索在新形势下财政支出改革的特点，不断更新管理思路，在规范财政收支和控制经费增长上，创新管理手段，用新思路、新方法，改进完善财务管理方法。具体项目自评情况附项目支出绩效自评表。</w:t>
      </w:r>
    </w:p>
    <w:p w14:paraId="61C9F3F5">
      <w:pPr>
        <w:keepNext w:val="0"/>
        <w:keepLines w:val="0"/>
        <w:pageBreakBefore w:val="0"/>
        <w:widowControl w:val="0"/>
        <w:kinsoku/>
        <w:wordWrap/>
        <w:overflowPunct/>
        <w:topLinePunct w:val="0"/>
        <w:autoSpaceDE/>
        <w:autoSpaceDN/>
        <w:adjustRightInd/>
        <w:snapToGrid/>
        <w:spacing w:line="240" w:lineRule="auto"/>
        <w:ind w:firstLine="562" w:firstLineChars="200"/>
        <w:jc w:val="center"/>
        <w:textAlignment w:val="auto"/>
        <w:outlineLvl w:val="0"/>
        <w:rPr>
          <w:rFonts w:hint="eastAsia" w:ascii="黑体" w:hAnsi="黑体" w:eastAsia="黑体"/>
          <w:sz w:val="32"/>
          <w:szCs w:val="32"/>
          <w:highlight w:val="none"/>
        </w:rPr>
      </w:pPr>
      <w:bookmarkStart w:id="34" w:name="_Toc24143"/>
      <w:bookmarkStart w:id="35" w:name="_Toc3250"/>
      <w:r>
        <w:rPr>
          <w:rFonts w:hint="default" w:ascii="黑体"/>
          <w:b/>
          <w:kern w:val="44"/>
          <w:sz w:val="28"/>
        </w:rPr>
        <w:br w:type="page"/>
      </w:r>
      <w:r>
        <w:rPr>
          <w:rFonts w:hint="default" w:ascii="黑体"/>
          <w:b/>
          <w:spacing w:val="40"/>
          <w:sz w:val="28"/>
        </w:rPr>
        <w:t xml:space="preserve"> </w:t>
      </w:r>
      <w:r>
        <w:rPr>
          <w:rFonts w:hint="eastAsia" w:ascii="黑体" w:hAnsi="黑体" w:eastAsia="黑体"/>
          <w:sz w:val="32"/>
          <w:szCs w:val="32"/>
          <w:highlight w:val="none"/>
        </w:rPr>
        <w:t>第三部分 专业名词解释</w:t>
      </w:r>
      <w:bookmarkEnd w:id="34"/>
      <w:bookmarkEnd w:id="35"/>
    </w:p>
    <w:p w14:paraId="6A6CB769">
      <w:pPr>
        <w:keepNext w:val="0"/>
        <w:keepLines w:val="0"/>
        <w:pageBreakBefore w:val="0"/>
        <w:widowControl w:val="0"/>
        <w:kinsoku/>
        <w:wordWrap/>
        <w:overflowPunct/>
        <w:topLinePunct w:val="0"/>
        <w:autoSpaceDE w:val="0"/>
        <w:autoSpaceDN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财政拨款收入：指同级财政当年拨付的资金。</w:t>
      </w:r>
    </w:p>
    <w:p w14:paraId="414E6710">
      <w:pPr>
        <w:keepNext w:val="0"/>
        <w:keepLines w:val="0"/>
        <w:pageBreakBefore w:val="0"/>
        <w:widowControl w:val="0"/>
        <w:kinsoku/>
        <w:wordWrap/>
        <w:overflowPunct/>
        <w:topLinePunct w:val="0"/>
        <w:autoSpaceDE w:val="0"/>
        <w:autoSpaceDN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上级补助收入：指事业单位从主管部门和上级单位取得的非财政补助收入。</w:t>
      </w:r>
    </w:p>
    <w:p w14:paraId="65FC71A2">
      <w:pPr>
        <w:keepNext w:val="0"/>
        <w:keepLines w:val="0"/>
        <w:pageBreakBefore w:val="0"/>
        <w:widowControl w:val="0"/>
        <w:kinsoku/>
        <w:wordWrap/>
        <w:overflowPunct/>
        <w:topLinePunct w:val="0"/>
        <w:autoSpaceDE w:val="0"/>
        <w:autoSpaceDN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事业收入：指事业单位开展专业业务活动及其辅助活动所取得的收入。</w:t>
      </w:r>
    </w:p>
    <w:p w14:paraId="66098AAA">
      <w:pPr>
        <w:keepNext w:val="0"/>
        <w:keepLines w:val="0"/>
        <w:pageBreakBefore w:val="0"/>
        <w:widowControl w:val="0"/>
        <w:kinsoku/>
        <w:wordWrap/>
        <w:overflowPunct/>
        <w:topLinePunct w:val="0"/>
        <w:autoSpaceDE w:val="0"/>
        <w:autoSpaceDN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经营收入：指事业单位在专业业务活动及其辅助活动之外开展非独立核算经营活动取得的收入。</w:t>
      </w:r>
    </w:p>
    <w:p w14:paraId="38ED7ACA">
      <w:pPr>
        <w:keepNext w:val="0"/>
        <w:keepLines w:val="0"/>
        <w:pageBreakBefore w:val="0"/>
        <w:widowControl w:val="0"/>
        <w:kinsoku/>
        <w:wordWrap/>
        <w:overflowPunct/>
        <w:topLinePunct w:val="0"/>
        <w:autoSpaceDE w:val="0"/>
        <w:autoSpaceDN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附属单位上缴收入：指事业单位附属的独立核算单位按有关规定上缴的收入。</w:t>
      </w:r>
    </w:p>
    <w:p w14:paraId="724F9B46">
      <w:pPr>
        <w:keepNext w:val="0"/>
        <w:keepLines w:val="0"/>
        <w:pageBreakBefore w:val="0"/>
        <w:widowControl w:val="0"/>
        <w:kinsoku/>
        <w:wordWrap/>
        <w:overflowPunct/>
        <w:topLinePunct w:val="0"/>
        <w:autoSpaceDE w:val="0"/>
        <w:autoSpaceDN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其他收入：指除上述“财政拨款收入”、“事业收入”、“经营收入”、“附属单位上缴收入”等之外取得的收入。</w:t>
      </w:r>
    </w:p>
    <w:p w14:paraId="029B9168">
      <w:pPr>
        <w:keepNext w:val="0"/>
        <w:keepLines w:val="0"/>
        <w:pageBreakBefore w:val="0"/>
        <w:widowControl w:val="0"/>
        <w:kinsoku/>
        <w:wordWrap/>
        <w:overflowPunct/>
        <w:topLinePunct w:val="0"/>
        <w:autoSpaceDE w:val="0"/>
        <w:autoSpaceDN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eastAsia="zh-CN"/>
        </w:rPr>
        <w:t>年初</w:t>
      </w:r>
      <w:r>
        <w:rPr>
          <w:rFonts w:hint="eastAsia" w:ascii="仿宋_GB2312" w:eastAsia="仿宋_GB2312"/>
          <w:sz w:val="32"/>
          <w:szCs w:val="32"/>
          <w:highlight w:val="none"/>
        </w:rPr>
        <w:t>结转和结余：指以前年度支出预算因客观条件变化未执行完毕、结转到本年度按有关规定继续使用的资金，既包括财政拨款结转和结余，也包括事业收入、经营收入、其他收入的结转和结余。</w:t>
      </w:r>
    </w:p>
    <w:p w14:paraId="4EE721C2">
      <w:pPr>
        <w:keepNext w:val="0"/>
        <w:keepLines w:val="0"/>
        <w:pageBreakBefore w:val="0"/>
        <w:widowControl w:val="0"/>
        <w:kinsoku/>
        <w:wordWrap/>
        <w:overflowPunct/>
        <w:topLinePunct w:val="0"/>
        <w:autoSpaceDE w:val="0"/>
        <w:autoSpaceDN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年末结转和结余：指本年度或以前年度预算安排、因客观条件发生变化无法按原计划实施，需要延迟到以后年度按有关规定继续使用的资金，既包括财政拨款结转和结余，也包括事业收入、经营收入、其他收入的结转和结余。</w:t>
      </w:r>
    </w:p>
    <w:p w14:paraId="0C2ACC59">
      <w:pPr>
        <w:keepNext w:val="0"/>
        <w:keepLines w:val="0"/>
        <w:pageBreakBefore w:val="0"/>
        <w:widowControl w:val="0"/>
        <w:kinsoku/>
        <w:wordWrap/>
        <w:overflowPunct/>
        <w:topLinePunct w:val="0"/>
        <w:autoSpaceDE w:val="0"/>
        <w:autoSpaceDN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基本支出：指为保障机构正常运转、完成日常工作任务而发生的人员支出和公用支出。</w:t>
      </w:r>
    </w:p>
    <w:p w14:paraId="5FF32993">
      <w:pPr>
        <w:keepNext w:val="0"/>
        <w:keepLines w:val="0"/>
        <w:pageBreakBefore w:val="0"/>
        <w:widowControl w:val="0"/>
        <w:kinsoku/>
        <w:wordWrap/>
        <w:overflowPunct/>
        <w:topLinePunct w:val="0"/>
        <w:autoSpaceDE w:val="0"/>
        <w:autoSpaceDN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项目支出：指在基本支出之外为完成特定行政任务和事业发展目标所发生的支出。</w:t>
      </w:r>
    </w:p>
    <w:p w14:paraId="58B6A391">
      <w:pPr>
        <w:keepNext w:val="0"/>
        <w:keepLines w:val="0"/>
        <w:pageBreakBefore w:val="0"/>
        <w:widowControl w:val="0"/>
        <w:kinsoku/>
        <w:wordWrap/>
        <w:overflowPunct/>
        <w:topLinePunct w:val="0"/>
        <w:autoSpaceDE w:val="0"/>
        <w:autoSpaceDN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经营支出：指事业单位在专业业务活动及其辅助活动之外开展非独立核算经营活动发生的支出。</w:t>
      </w:r>
    </w:p>
    <w:p w14:paraId="22FA717B">
      <w:pPr>
        <w:keepNext w:val="0"/>
        <w:keepLines w:val="0"/>
        <w:pageBreakBefore w:val="0"/>
        <w:widowControl w:val="0"/>
        <w:kinsoku/>
        <w:wordWrap/>
        <w:overflowPunct/>
        <w:topLinePunct w:val="0"/>
        <w:autoSpaceDE w:val="0"/>
        <w:autoSpaceDN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对附属单位补助支出：指事业单位发生的用非财政预算资金对附属单位的补助支出。</w:t>
      </w:r>
    </w:p>
    <w:p w14:paraId="4F22984D">
      <w:pPr>
        <w:keepNext w:val="0"/>
        <w:keepLines w:val="0"/>
        <w:pageBreakBefore w:val="0"/>
        <w:widowControl w:val="0"/>
        <w:kinsoku/>
        <w:wordWrap/>
        <w:overflowPunct/>
        <w:topLinePunct w:val="0"/>
        <w:autoSpaceDE w:val="0"/>
        <w:autoSpaceDN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三公”经费：指用财政拨款安排的因公出国（境）费、公务用车购置及运行费和公务接待费。其中，因公出国（境）费反映单位公务出国（境）的国际旅费、国外城市间交通费、住宿费、伙食费、培训费、公杂费等支出；公务用车购置费反映公务用车购置支出（含车辆购置税、牌照费）；公务用车运行维护费反映单位按规定保留的公务用车燃料费、维修费、过路过桥费、保险费、安全奖励费用等支出；公务接待费反映单位按规定开支的各类公务接待（含外宾接待）费用。</w:t>
      </w:r>
    </w:p>
    <w:p w14:paraId="37335C86">
      <w:pPr>
        <w:keepNext w:val="0"/>
        <w:keepLines w:val="0"/>
        <w:pageBreakBefore w:val="0"/>
        <w:widowControl w:val="0"/>
        <w:kinsoku/>
        <w:wordWrap/>
        <w:overflowPunct/>
        <w:topLinePunct w:val="0"/>
        <w:adjustRightInd/>
        <w:snapToGrid/>
        <w:spacing w:line="240" w:lineRule="auto"/>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机关运行经费：行政单位和参照公务员法管理的事业单位财政拨款基本支出中的公用经费支出。</w:t>
      </w:r>
    </w:p>
    <w:p w14:paraId="1EC6D81D">
      <w:pPr>
        <w:keepNext w:val="0"/>
        <w:keepLines w:val="0"/>
        <w:pageBreakBefore w:val="0"/>
        <w:widowControl w:val="0"/>
        <w:kinsoku/>
        <w:wordWrap/>
        <w:overflowPunct/>
        <w:topLinePunct w:val="0"/>
        <w:autoSpaceDE/>
        <w:autoSpaceDN/>
        <w:adjustRightInd/>
        <w:snapToGrid/>
        <w:spacing w:line="240" w:lineRule="auto"/>
        <w:ind w:firstLine="562" w:firstLineChars="200"/>
        <w:jc w:val="center"/>
        <w:textAlignment w:val="auto"/>
        <w:outlineLvl w:val="0"/>
        <w:rPr>
          <w:rFonts w:hint="eastAsia" w:ascii="黑体" w:hAnsi="黑体" w:eastAsia="黑体"/>
          <w:sz w:val="32"/>
          <w:szCs w:val="32"/>
          <w:highlight w:val="none"/>
        </w:rPr>
      </w:pPr>
      <w:bookmarkStart w:id="36" w:name="_Toc28903"/>
      <w:bookmarkStart w:id="37" w:name="_Toc22784"/>
      <w:r>
        <w:rPr>
          <w:rFonts w:hint="default" w:ascii="黑体"/>
          <w:b/>
          <w:kern w:val="44"/>
          <w:sz w:val="28"/>
        </w:rPr>
        <w:br w:type="page"/>
      </w:r>
      <w:r>
        <w:rPr>
          <w:rFonts w:hint="default" w:ascii="黑体"/>
          <w:b/>
          <w:spacing w:val="40"/>
          <w:sz w:val="28"/>
        </w:rPr>
        <w:t xml:space="preserve"> </w:t>
      </w:r>
      <w:r>
        <w:rPr>
          <w:rFonts w:hint="eastAsia" w:ascii="黑体" w:hAnsi="黑体" w:eastAsia="黑体"/>
          <w:sz w:val="32"/>
          <w:szCs w:val="32"/>
          <w:highlight w:val="none"/>
        </w:rPr>
        <w:t>第四部分 部门决算报表（见附表）</w:t>
      </w:r>
      <w:bookmarkEnd w:id="36"/>
      <w:bookmarkEnd w:id="37"/>
    </w:p>
    <w:p w14:paraId="625241D1">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rPr>
      </w:pPr>
      <w:bookmarkStart w:id="38" w:name="_Toc6062"/>
      <w:bookmarkStart w:id="39" w:name="_Toc2183"/>
      <w:r>
        <w:rPr>
          <w:rFonts w:hint="eastAsia" w:ascii="黑体" w:hAnsi="黑体" w:eastAsia="黑体" w:cs="宋体"/>
          <w:kern w:val="0"/>
          <w:sz w:val="32"/>
          <w:szCs w:val="32"/>
          <w:highlight w:val="none"/>
        </w:rPr>
        <w:t>一、《收入支出决算总表》</w:t>
      </w:r>
      <w:bookmarkEnd w:id="38"/>
      <w:bookmarkEnd w:id="39"/>
    </w:p>
    <w:p w14:paraId="48693F73">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rPr>
      </w:pPr>
      <w:bookmarkStart w:id="40" w:name="_Toc30364"/>
      <w:bookmarkStart w:id="41" w:name="_Toc24532"/>
      <w:r>
        <w:rPr>
          <w:rFonts w:hint="eastAsia" w:ascii="黑体" w:hAnsi="黑体" w:eastAsia="黑体" w:cs="宋体"/>
          <w:kern w:val="0"/>
          <w:sz w:val="32"/>
          <w:szCs w:val="32"/>
          <w:highlight w:val="none"/>
        </w:rPr>
        <w:t>二、《收入决算表》</w:t>
      </w:r>
      <w:bookmarkEnd w:id="40"/>
      <w:bookmarkEnd w:id="41"/>
    </w:p>
    <w:p w14:paraId="14573A54">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rPr>
      </w:pPr>
      <w:bookmarkStart w:id="42" w:name="_Toc21304"/>
      <w:bookmarkStart w:id="43" w:name="_Toc32434"/>
      <w:r>
        <w:rPr>
          <w:rFonts w:hint="eastAsia" w:ascii="黑体" w:hAnsi="黑体" w:eastAsia="黑体" w:cs="宋体"/>
          <w:kern w:val="0"/>
          <w:sz w:val="32"/>
          <w:szCs w:val="32"/>
          <w:highlight w:val="none"/>
        </w:rPr>
        <w:t>三、《支出决算表》</w:t>
      </w:r>
      <w:bookmarkEnd w:id="42"/>
      <w:bookmarkEnd w:id="43"/>
    </w:p>
    <w:p w14:paraId="322E8C6B">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rPr>
      </w:pPr>
      <w:bookmarkStart w:id="44" w:name="_Toc14238"/>
      <w:bookmarkStart w:id="45" w:name="_Toc28786"/>
      <w:r>
        <w:rPr>
          <w:rFonts w:hint="eastAsia" w:ascii="黑体" w:hAnsi="黑体" w:eastAsia="黑体" w:cs="宋体"/>
          <w:kern w:val="0"/>
          <w:sz w:val="32"/>
          <w:szCs w:val="32"/>
          <w:highlight w:val="none"/>
        </w:rPr>
        <w:t>四、《财政拨款收入支出决算总表》</w:t>
      </w:r>
      <w:bookmarkEnd w:id="44"/>
      <w:bookmarkEnd w:id="45"/>
    </w:p>
    <w:p w14:paraId="7CA85B30">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rPr>
      </w:pPr>
      <w:bookmarkStart w:id="46" w:name="_Toc10347"/>
      <w:bookmarkStart w:id="47" w:name="_Toc14869"/>
      <w:r>
        <w:rPr>
          <w:rFonts w:hint="eastAsia" w:ascii="黑体" w:hAnsi="黑体" w:eastAsia="黑体" w:cs="宋体"/>
          <w:kern w:val="0"/>
          <w:sz w:val="32"/>
          <w:szCs w:val="32"/>
          <w:highlight w:val="none"/>
        </w:rPr>
        <w:t>五、《一般公共预算财政拨款支出决算表》</w:t>
      </w:r>
      <w:bookmarkEnd w:id="46"/>
      <w:bookmarkEnd w:id="47"/>
    </w:p>
    <w:p w14:paraId="29263A67">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rPr>
      </w:pPr>
      <w:bookmarkStart w:id="48" w:name="_Toc5626"/>
      <w:bookmarkStart w:id="49" w:name="_Toc8884"/>
      <w:r>
        <w:rPr>
          <w:rFonts w:hint="eastAsia" w:ascii="黑体" w:hAnsi="黑体" w:eastAsia="黑体" w:cs="宋体"/>
          <w:kern w:val="0"/>
          <w:sz w:val="32"/>
          <w:szCs w:val="32"/>
          <w:highlight w:val="none"/>
        </w:rPr>
        <w:t>六、《一般公共预算财政拨款基本支出决算表》</w:t>
      </w:r>
      <w:bookmarkEnd w:id="48"/>
      <w:bookmarkEnd w:id="49"/>
    </w:p>
    <w:p w14:paraId="4F7B1AFD">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rPr>
      </w:pPr>
      <w:bookmarkStart w:id="50" w:name="_Toc32663"/>
      <w:bookmarkStart w:id="51" w:name="_Toc29106"/>
      <w:r>
        <w:rPr>
          <w:rFonts w:hint="eastAsia" w:ascii="黑体" w:hAnsi="黑体" w:eastAsia="黑体" w:cs="宋体"/>
          <w:kern w:val="0"/>
          <w:sz w:val="32"/>
          <w:szCs w:val="32"/>
          <w:highlight w:val="none"/>
        </w:rPr>
        <w:t>七、《财政拨款“三公”经费支出决算表》</w:t>
      </w:r>
      <w:bookmarkEnd w:id="50"/>
      <w:bookmarkEnd w:id="51"/>
    </w:p>
    <w:p w14:paraId="6CA27490">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lang w:eastAsia="zh-CN"/>
        </w:rPr>
      </w:pPr>
      <w:bookmarkStart w:id="52" w:name="_Toc5453"/>
      <w:bookmarkStart w:id="53" w:name="_Toc7643"/>
      <w:r>
        <w:rPr>
          <w:rFonts w:hint="eastAsia" w:ascii="黑体" w:hAnsi="黑体" w:eastAsia="黑体" w:cs="宋体"/>
          <w:kern w:val="0"/>
          <w:sz w:val="32"/>
          <w:szCs w:val="32"/>
          <w:highlight w:val="none"/>
        </w:rPr>
        <w:t>八、《政府性基金预算财政拨款收入支出决算表》</w:t>
      </w:r>
      <w:bookmarkEnd w:id="52"/>
      <w:bookmarkEnd w:id="53"/>
    </w:p>
    <w:p w14:paraId="67F375B7">
      <w:pPr>
        <w:keepNext w:val="0"/>
        <w:keepLines w:val="0"/>
        <w:pageBreakBefore w:val="0"/>
        <w:widowControl w:val="0"/>
        <w:kinsoku/>
        <w:wordWrap/>
        <w:overflowPunct/>
        <w:topLinePunct w:val="0"/>
        <w:autoSpaceDE/>
        <w:autoSpaceDN/>
        <w:adjustRightInd/>
        <w:snapToGrid/>
        <w:spacing w:line="240" w:lineRule="auto"/>
        <w:ind w:firstLine="640" w:firstLineChars="200"/>
        <w:jc w:val="both"/>
        <w:textAlignment w:val="auto"/>
        <w:outlineLvl w:val="1"/>
        <w:rPr>
          <w:rFonts w:hint="eastAsia" w:ascii="黑体" w:hAnsi="黑体" w:eastAsia="黑体" w:cs="宋体"/>
          <w:kern w:val="0"/>
          <w:sz w:val="32"/>
          <w:szCs w:val="32"/>
          <w:highlight w:val="none"/>
          <w:lang w:eastAsia="zh-CN"/>
        </w:rPr>
      </w:pPr>
      <w:r>
        <w:rPr>
          <w:rFonts w:hint="eastAsia" w:ascii="黑体" w:hAnsi="黑体" w:eastAsia="黑体" w:cs="宋体"/>
          <w:kern w:val="0"/>
          <w:sz w:val="32"/>
          <w:szCs w:val="32"/>
          <w:highlight w:val="none"/>
        </w:rPr>
        <w:t>九、《国有资本经营预算财政拨款收入支出决算表》</w:t>
      </w:r>
    </w:p>
    <w:p w14:paraId="0F1E2EAF">
      <w:bookmarkStart w:id="54" w:name="_GoBack"/>
      <w:bookmarkEnd w:id="54"/>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55947">
    <w:pPr>
      <w:pStyle w:val="4"/>
      <w:tabs>
        <w:tab w:val="center" w:pos="4153"/>
        <w:tab w:val="right" w:pos="8306"/>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C006F29">
                          <w:pPr>
                            <w:pStyle w:val="4"/>
                            <w:tabs>
                              <w:tab w:val="center" w:pos="4153"/>
                              <w:tab w:val="right" w:pos="8306"/>
                            </w:tabs>
                            <w:rPr>
                              <w:rFonts w:hint="eastAsia" w:eastAsia="宋体"/>
                              <w:lang w:eastAsia="zh-CN"/>
                            </w:rPr>
                          </w:pPr>
                          <w:r>
                            <w:rPr>
                              <w:rFonts w:hint="eastAsia"/>
                              <w:lang w:eastAsia="zh-CN"/>
                            </w:rPr>
                            <w:fldChar w:fldCharType="begin"/>
                          </w:r>
                          <w:r>
                            <w:rPr>
                              <w:rFonts w:hint="eastAsia"/>
                              <w:lang w:eastAsia="zh-CN"/>
                            </w:rPr>
                            <w:instrText xml:space="preserve"> PAGE \* MERGEFORMAT</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path/>
              <v:fill on="f" focussize="0,0"/>
              <v:stroke on="f"/>
              <v:imagedata o:title=""/>
              <o:lock v:ext="edit" aspectratio="f"/>
              <v:textbox inset="0mm,0mm,0mm,0mm" style="mso-fit-shape-to-text:t;">
                <w:txbxContent>
                  <w:p w14:paraId="4C006F29">
                    <w:pPr>
                      <w:pStyle w:val="4"/>
                      <w:tabs>
                        <w:tab w:val="center" w:pos="4153"/>
                        <w:tab w:val="right" w:pos="8306"/>
                      </w:tabs>
                      <w:rPr>
                        <w:rFonts w:hint="eastAsia" w:eastAsia="宋体"/>
                        <w:lang w:eastAsia="zh-CN"/>
                      </w:rPr>
                    </w:pPr>
                    <w:r>
                      <w:rPr>
                        <w:rFonts w:hint="eastAsia"/>
                        <w:lang w:eastAsia="zh-CN"/>
                      </w:rPr>
                      <w:fldChar w:fldCharType="begin"/>
                    </w:r>
                    <w:r>
                      <w:rPr>
                        <w:rFonts w:hint="eastAsia"/>
                        <w:lang w:eastAsia="zh-CN"/>
                      </w:rPr>
                      <w:instrText xml:space="preserve"> PAGE \* MERGEFORMAT</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yZGQwMzFjOTZhODI1MDhlNDRhODY1MjMxOTRiYmMifQ=="/>
  </w:docVars>
  <w:rsids>
    <w:rsidRoot w:val="218A4CEC"/>
    <w:rsid w:val="218A4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hint="default" w:ascii="Times New Roman" w:hAnsi="Times New Roman" w:eastAsia="宋体" w:cs="Times New Roman"/>
      <w:kern w:val="2"/>
      <w:sz w:val="21"/>
      <w:szCs w:val="24"/>
      <w:lang w:val="en-US" w:eastAsia="zh-CN"/>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afterAutospacing="0"/>
    </w:pPr>
  </w:style>
  <w:style w:type="paragraph" w:styleId="3">
    <w:name w:val="toc 3"/>
    <w:basedOn w:val="1"/>
    <w:next w:val="1"/>
    <w:qFormat/>
    <w:uiPriority w:val="0"/>
    <w:pPr>
      <w:ind w:left="840" w:leftChars="400"/>
    </w:pPr>
  </w:style>
  <w:style w:type="paragraph" w:styleId="4">
    <w:name w:val="footer"/>
    <w:basedOn w:val="1"/>
    <w:qFormat/>
    <w:uiPriority w:val="0"/>
    <w:pPr>
      <w:snapToGrid w:val="0"/>
      <w:jc w:val="left"/>
    </w:pPr>
    <w:rPr>
      <w:sz w:val="18"/>
    </w:rPr>
  </w:style>
  <w:style w:type="paragraph" w:styleId="5">
    <w:name w:val="toc 1"/>
    <w:basedOn w:val="1"/>
    <w:next w:val="1"/>
    <w:qFormat/>
    <w:uiPriority w:val="0"/>
  </w:style>
  <w:style w:type="paragraph" w:styleId="6">
    <w:name w:val="toc 2"/>
    <w:basedOn w:val="1"/>
    <w:next w:val="1"/>
    <w:qFormat/>
    <w:uiPriority w:val="0"/>
    <w:pPr>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2024-08-27T05:19:00Z</dcterms:created>
  <dc:creator>A  o_O毛豆</dc:creator>
  <cp:lastModifiedBy>A  o_O毛豆</cp:lastModifiedBy>
  <dcterms:modified xsi:type="dcterms:W3CDTF">2024-08-27T05:20:17Z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4C02AAECD0F143CCBCE9304801EB9CAA_11</vt:lpwstr>
  </property>
</Properties>
</file>